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77CD" w14:textId="77777777" w:rsidR="002D1BF5" w:rsidRDefault="002D1BF5" w:rsidP="008D2FAD">
      <w:pPr>
        <w:ind w:left="-810" w:firstLine="810"/>
      </w:pPr>
    </w:p>
    <w:p w14:paraId="37B7C97E" w14:textId="77777777" w:rsidR="002D1BF5" w:rsidRDefault="00A76F80" w:rsidP="00362C8A">
      <w:r>
        <w:rPr>
          <w:noProof/>
          <w:lang w:val="en-CA" w:eastAsia="en-CA"/>
        </w:rPr>
        <w:drawing>
          <wp:anchor distT="0" distB="0" distL="114300" distR="114300" simplePos="0" relativeHeight="251658240" behindDoc="1" locked="0" layoutInCell="1" allowOverlap="1" wp14:anchorId="2E12F010" wp14:editId="279067C9">
            <wp:simplePos x="0" y="0"/>
            <wp:positionH relativeFrom="column">
              <wp:posOffset>-466725</wp:posOffset>
            </wp:positionH>
            <wp:positionV relativeFrom="paragraph">
              <wp:posOffset>213995</wp:posOffset>
            </wp:positionV>
            <wp:extent cx="6413500" cy="3101340"/>
            <wp:effectExtent l="0" t="0" r="0" b="0"/>
            <wp:wrapNone/>
            <wp:docPr id="4" name="Picture 3" descr="Ma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jpg"/>
                    <pic:cNvPicPr/>
                  </pic:nvPicPr>
                  <pic:blipFill>
                    <a:blip r:embed="rId7">
                      <a:extLst>
                        <a:ext uri="{28A0092B-C50C-407E-A947-70E740481C1C}">
                          <a14:useLocalDpi xmlns:a14="http://schemas.microsoft.com/office/drawing/2010/main" val="0"/>
                        </a:ext>
                      </a:extLst>
                    </a:blip>
                    <a:stretch>
                      <a:fillRect/>
                    </a:stretch>
                  </pic:blipFill>
                  <pic:spPr>
                    <a:xfrm>
                      <a:off x="0" y="0"/>
                      <a:ext cx="6413500" cy="3101340"/>
                    </a:xfrm>
                    <a:prstGeom prst="rect">
                      <a:avLst/>
                    </a:prstGeom>
                  </pic:spPr>
                </pic:pic>
              </a:graphicData>
            </a:graphic>
            <wp14:sizeRelH relativeFrom="page">
              <wp14:pctWidth>0</wp14:pctWidth>
            </wp14:sizeRelH>
            <wp14:sizeRelV relativeFrom="page">
              <wp14:pctHeight>0</wp14:pctHeight>
            </wp14:sizeRelV>
          </wp:anchor>
        </w:drawing>
      </w:r>
    </w:p>
    <w:p w14:paraId="20B9AE55" w14:textId="77777777" w:rsidR="00A76F80" w:rsidRDefault="00A76F80" w:rsidP="00362C8A"/>
    <w:p w14:paraId="0E61B844" w14:textId="77777777" w:rsidR="00A76F80" w:rsidRDefault="00A76F80" w:rsidP="00362C8A"/>
    <w:p w14:paraId="55E6C3D2" w14:textId="77777777" w:rsidR="00A76F80" w:rsidRDefault="00A76F80" w:rsidP="00362C8A"/>
    <w:p w14:paraId="10F33532" w14:textId="77777777" w:rsidR="00A76F80" w:rsidRDefault="00A76F80" w:rsidP="00362C8A"/>
    <w:p w14:paraId="5D4C73D6" w14:textId="77777777" w:rsidR="00A76F80" w:rsidRDefault="00A76F80" w:rsidP="00362C8A"/>
    <w:p w14:paraId="5904CD2E" w14:textId="77777777" w:rsidR="00A76F80" w:rsidRDefault="00A76F80" w:rsidP="00362C8A"/>
    <w:p w14:paraId="284041E4" w14:textId="77777777" w:rsidR="00A76F80" w:rsidRDefault="00A76F80" w:rsidP="00362C8A"/>
    <w:p w14:paraId="442C9C0C" w14:textId="77777777" w:rsidR="00A76F80" w:rsidRDefault="00A76F80" w:rsidP="00362C8A"/>
    <w:p w14:paraId="7E6B587D" w14:textId="77777777" w:rsidR="00A76F80" w:rsidRDefault="00A76F80" w:rsidP="00362C8A"/>
    <w:p w14:paraId="772EB555" w14:textId="77777777" w:rsidR="002D1BF5" w:rsidRDefault="002D1BF5" w:rsidP="00A76F80">
      <w:pPr>
        <w:ind w:left="-1080" w:hanging="360"/>
      </w:pPr>
    </w:p>
    <w:p w14:paraId="55EF7CE2" w14:textId="77777777" w:rsidR="002D1BF5" w:rsidRPr="00FC0AE3" w:rsidRDefault="002D1BF5" w:rsidP="00362C8A">
      <w:pPr>
        <w:rPr>
          <w:lang w:val="fr-CA"/>
        </w:rPr>
      </w:pPr>
    </w:p>
    <w:p w14:paraId="5F96BF71" w14:textId="77777777" w:rsidR="002D1BF5" w:rsidRPr="00FC0AE3" w:rsidRDefault="002D1BF5" w:rsidP="00362C8A">
      <w:pPr>
        <w:rPr>
          <w:lang w:val="fr-CA"/>
        </w:rPr>
      </w:pPr>
    </w:p>
    <w:p w14:paraId="353B4DFC" w14:textId="77777777" w:rsidR="002D1BF5" w:rsidRPr="00FC0AE3" w:rsidRDefault="002D1BF5" w:rsidP="00362C8A">
      <w:pPr>
        <w:rPr>
          <w:b/>
          <w:bCs/>
          <w:color w:val="004270"/>
          <w:sz w:val="40"/>
          <w:szCs w:val="40"/>
          <w:lang w:val="fr-CA"/>
        </w:rPr>
      </w:pPr>
      <w:r w:rsidRPr="00FC0AE3">
        <w:rPr>
          <w:b/>
          <w:bCs/>
          <w:color w:val="004270"/>
          <w:sz w:val="40"/>
          <w:szCs w:val="40"/>
          <w:lang w:val="fr-CA"/>
        </w:rPr>
        <w:t xml:space="preserve">Programme de qualification des CIRP/PAIR </w:t>
      </w:r>
    </w:p>
    <w:p w14:paraId="3F2B80A8" w14:textId="77777777" w:rsidR="002D1BF5" w:rsidRPr="00FC0AE3" w:rsidRDefault="002D1BF5" w:rsidP="00362C8A">
      <w:pPr>
        <w:rPr>
          <w:b/>
          <w:bCs/>
          <w:color w:val="004270"/>
          <w:sz w:val="40"/>
          <w:szCs w:val="40"/>
          <w:lang w:val="fr-CA"/>
        </w:rPr>
      </w:pPr>
      <w:r w:rsidRPr="00FC0AE3">
        <w:rPr>
          <w:b/>
          <w:bCs/>
          <w:color w:val="004270"/>
          <w:sz w:val="40"/>
          <w:szCs w:val="40"/>
          <w:lang w:val="fr-CA"/>
        </w:rPr>
        <w:t>Ressources didactiques</w:t>
      </w:r>
    </w:p>
    <w:p w14:paraId="02F38B25" w14:textId="77777777" w:rsidR="002D1BF5" w:rsidRPr="00FC0AE3" w:rsidRDefault="002D1BF5" w:rsidP="00362C8A">
      <w:pPr>
        <w:rPr>
          <w:b/>
          <w:bCs/>
          <w:color w:val="004270"/>
          <w:lang w:val="fr-CA"/>
        </w:rPr>
      </w:pPr>
    </w:p>
    <w:p w14:paraId="542DC350" w14:textId="52BBFF00" w:rsidR="002D1BF5" w:rsidRPr="00FC0AE3" w:rsidRDefault="00D16F41" w:rsidP="00362C8A">
      <w:pPr>
        <w:rPr>
          <w:b/>
          <w:bCs/>
          <w:color w:val="004270"/>
          <w:sz w:val="28"/>
          <w:szCs w:val="28"/>
          <w:lang w:val="fr-CA"/>
        </w:rPr>
      </w:pPr>
      <w:proofErr w:type="gramStart"/>
      <w:r>
        <w:rPr>
          <w:b/>
          <w:bCs/>
          <w:color w:val="004270"/>
          <w:sz w:val="28"/>
          <w:szCs w:val="28"/>
          <w:lang w:val="fr-CA"/>
        </w:rPr>
        <w:t>avril</w:t>
      </w:r>
      <w:proofErr w:type="gramEnd"/>
      <w:r>
        <w:rPr>
          <w:b/>
          <w:bCs/>
          <w:color w:val="004270"/>
          <w:sz w:val="28"/>
          <w:szCs w:val="28"/>
          <w:lang w:val="fr-CA"/>
        </w:rPr>
        <w:t xml:space="preserve"> 2022</w:t>
      </w:r>
    </w:p>
    <w:p w14:paraId="7AAAA8BB" w14:textId="77777777" w:rsidR="002D1BF5" w:rsidRPr="00FC0AE3" w:rsidRDefault="002D1BF5" w:rsidP="00D56998">
      <w:pPr>
        <w:pStyle w:val="Heading1"/>
        <w:numPr>
          <w:ilvl w:val="0"/>
          <w:numId w:val="0"/>
        </w:numPr>
        <w:ind w:left="360" w:hanging="360"/>
        <w:rPr>
          <w:lang w:val="fr-CA"/>
        </w:rPr>
      </w:pPr>
    </w:p>
    <w:p w14:paraId="00180885" w14:textId="77777777" w:rsidR="002D1BF5" w:rsidRDefault="002D1BF5" w:rsidP="00D56998">
      <w:pPr>
        <w:pStyle w:val="Heading1"/>
        <w:numPr>
          <w:ilvl w:val="0"/>
          <w:numId w:val="0"/>
        </w:numPr>
        <w:ind w:left="360" w:hanging="360"/>
        <w:rPr>
          <w:lang w:val="fr-CA"/>
        </w:rPr>
      </w:pPr>
    </w:p>
    <w:p w14:paraId="350B9016" w14:textId="77777777" w:rsidR="00CF5C3C" w:rsidRDefault="00CF5C3C" w:rsidP="00D56998">
      <w:pPr>
        <w:pStyle w:val="Heading1"/>
        <w:numPr>
          <w:ilvl w:val="0"/>
          <w:numId w:val="0"/>
        </w:numPr>
        <w:ind w:left="360" w:hanging="360"/>
        <w:rPr>
          <w:lang w:val="fr-CA"/>
        </w:rPr>
      </w:pPr>
    </w:p>
    <w:p w14:paraId="17A3778F" w14:textId="77777777" w:rsidR="00CF5C3C" w:rsidRPr="00FC0AE3" w:rsidRDefault="00CF5C3C" w:rsidP="00D56998">
      <w:pPr>
        <w:pStyle w:val="Heading1"/>
        <w:numPr>
          <w:ilvl w:val="0"/>
          <w:numId w:val="0"/>
        </w:numPr>
        <w:ind w:left="360" w:hanging="360"/>
        <w:rPr>
          <w:lang w:val="fr-CA"/>
        </w:rPr>
      </w:pPr>
    </w:p>
    <w:p w14:paraId="752E68B6" w14:textId="77777777" w:rsidR="002D1BF5" w:rsidRPr="00FC0AE3" w:rsidRDefault="002D1BF5" w:rsidP="00E66AB9">
      <w:pPr>
        <w:pStyle w:val="Heading1"/>
        <w:numPr>
          <w:ilvl w:val="0"/>
          <w:numId w:val="0"/>
        </w:numPr>
        <w:spacing w:after="480"/>
        <w:ind w:left="360" w:hanging="360"/>
        <w:rPr>
          <w:lang w:val="fr-CA"/>
        </w:rPr>
      </w:pPr>
      <w:r w:rsidRPr="00FC0AE3">
        <w:rPr>
          <w:lang w:val="fr-CA"/>
        </w:rPr>
        <w:lastRenderedPageBreak/>
        <w:t>RESSOURCES DIDACTIQUES</w:t>
      </w:r>
    </w:p>
    <w:p w14:paraId="1073FE10" w14:textId="77777777" w:rsidR="002D1BF5" w:rsidRPr="00FC0AE3" w:rsidRDefault="002D1BF5" w:rsidP="00116C0B">
      <w:pPr>
        <w:pStyle w:val="BodyText"/>
        <w:rPr>
          <w:lang w:val="fr-CA"/>
        </w:rPr>
      </w:pPr>
      <w:r w:rsidRPr="00FC0AE3">
        <w:rPr>
          <w:lang w:val="fr-CA"/>
        </w:rPr>
        <w:t>Le présent document offre aux candidats une source de référence pour tous les sujets pouvant être abordés dans l’évaluation selon le profil des compétences. Les candidats devraient se familiariser avec tous les textes mentionnés et enrichir leurs connaissances au fur et à mesure qu’ils progressent dans le programme.</w:t>
      </w:r>
    </w:p>
    <w:p w14:paraId="4CE66DAD" w14:textId="77777777" w:rsidR="002D1BF5" w:rsidRPr="00FC0AE3" w:rsidRDefault="002D1BF5" w:rsidP="00116C0B">
      <w:pPr>
        <w:pStyle w:val="Appendixtopic"/>
        <w:spacing w:before="360" w:after="240"/>
        <w:rPr>
          <w:lang w:val="fr-CA"/>
        </w:rPr>
      </w:pPr>
      <w:r w:rsidRPr="00FC0AE3">
        <w:rPr>
          <w:lang w:val="fr-CA"/>
        </w:rPr>
        <w:t>Programme de qualification des CIRP/PAIR</w:t>
      </w:r>
      <w:r w:rsidR="00B62909">
        <w:rPr>
          <w:lang w:val="fr-CA"/>
        </w:rPr>
        <w:t xml:space="preserve"> </w:t>
      </w:r>
      <w:r w:rsidR="00145351">
        <w:rPr>
          <w:lang w:val="fr-CA"/>
        </w:rPr>
        <w:t>:</w:t>
      </w:r>
      <w:r w:rsidR="00B62909" w:rsidRPr="00DF3A88">
        <w:rPr>
          <w:lang w:val="fr-CA"/>
        </w:rPr>
        <w:t xml:space="preserve"> matériel didactique</w:t>
      </w:r>
    </w:p>
    <w:p w14:paraId="3F0A52B9" w14:textId="77777777" w:rsidR="002D1BF5" w:rsidRPr="00FC0AE3" w:rsidRDefault="002D1BF5" w:rsidP="00D82B6E">
      <w:pPr>
        <w:pStyle w:val="BodyIndent"/>
        <w:rPr>
          <w:lang w:val="fr-CA"/>
        </w:rPr>
      </w:pPr>
      <w:r w:rsidRPr="00FC0AE3">
        <w:rPr>
          <w:lang w:val="fr-CA"/>
        </w:rPr>
        <w:t>Cours d’introduction</w:t>
      </w:r>
    </w:p>
    <w:p w14:paraId="0A146AFD" w14:textId="77777777" w:rsidR="002D1BF5" w:rsidRPr="00FC0AE3" w:rsidRDefault="002D1BF5" w:rsidP="00D82B6E">
      <w:pPr>
        <w:pStyle w:val="BodyIndent"/>
        <w:rPr>
          <w:lang w:val="fr-CA"/>
        </w:rPr>
      </w:pPr>
      <w:r w:rsidRPr="00FC0AE3">
        <w:rPr>
          <w:lang w:val="fr-CA"/>
        </w:rPr>
        <w:t>Cours de connaissances fondamentales</w:t>
      </w:r>
    </w:p>
    <w:p w14:paraId="4C590EFA" w14:textId="77777777" w:rsidR="002D1BF5" w:rsidRPr="00FC0AE3" w:rsidRDefault="002D1BF5" w:rsidP="00D82B6E">
      <w:pPr>
        <w:pStyle w:val="BodyIndent"/>
        <w:rPr>
          <w:lang w:val="fr-CA"/>
        </w:rPr>
      </w:pPr>
      <w:r w:rsidRPr="00FC0AE3">
        <w:rPr>
          <w:lang w:val="fr-CA"/>
        </w:rPr>
        <w:t>Cours de connaissances appliquées</w:t>
      </w:r>
    </w:p>
    <w:p w14:paraId="0FA066F6" w14:textId="2A3E67FB" w:rsidR="002D1BF5" w:rsidRPr="00FC0AE3" w:rsidRDefault="002D1BF5" w:rsidP="00D82B6E">
      <w:pPr>
        <w:pStyle w:val="BodyIndent"/>
        <w:rPr>
          <w:lang w:val="fr-CA"/>
        </w:rPr>
      </w:pPr>
      <w:r w:rsidRPr="00FC0AE3">
        <w:rPr>
          <w:lang w:val="fr-CA"/>
        </w:rPr>
        <w:t xml:space="preserve">Cours </w:t>
      </w:r>
      <w:r w:rsidR="008B54EF">
        <w:rPr>
          <w:lang w:val="fr-CA"/>
        </w:rPr>
        <w:t>pratiques sur</w:t>
      </w:r>
      <w:r w:rsidRPr="00FC0AE3">
        <w:rPr>
          <w:lang w:val="fr-CA"/>
        </w:rPr>
        <w:t xml:space="preserve"> </w:t>
      </w:r>
      <w:r w:rsidR="008B54EF">
        <w:rPr>
          <w:color w:val="313131"/>
          <w:shd w:val="clear" w:color="auto" w:fill="FFFFFF"/>
        </w:rPr>
        <w:t xml:space="preserve">les consultations </w:t>
      </w:r>
      <w:proofErr w:type="spellStart"/>
      <w:r w:rsidR="008B54EF">
        <w:rPr>
          <w:color w:val="313131"/>
          <w:shd w:val="clear" w:color="auto" w:fill="FFFFFF"/>
        </w:rPr>
        <w:t>en</w:t>
      </w:r>
      <w:proofErr w:type="spellEnd"/>
      <w:r w:rsidR="008B54EF">
        <w:rPr>
          <w:color w:val="313131"/>
          <w:shd w:val="clear" w:color="auto" w:fill="FFFFFF"/>
        </w:rPr>
        <w:t xml:space="preserve"> matière </w:t>
      </w:r>
      <w:proofErr w:type="spellStart"/>
      <w:r w:rsidR="008B54EF">
        <w:rPr>
          <w:color w:val="313131"/>
          <w:shd w:val="clear" w:color="auto" w:fill="FFFFFF"/>
        </w:rPr>
        <w:t>d'insolvabilité</w:t>
      </w:r>
      <w:proofErr w:type="spellEnd"/>
    </w:p>
    <w:p w14:paraId="179AB28D" w14:textId="77777777" w:rsidR="002D1BF5" w:rsidRPr="00FC0AE3" w:rsidRDefault="002D1BF5" w:rsidP="00E66AB9">
      <w:pPr>
        <w:pStyle w:val="Appendixtopic"/>
        <w:spacing w:before="360" w:after="240"/>
        <w:rPr>
          <w:lang w:val="fr-CA"/>
        </w:rPr>
      </w:pPr>
      <w:r w:rsidRPr="00FC0AE3">
        <w:rPr>
          <w:lang w:val="fr-CA"/>
        </w:rPr>
        <w:t>Lois pertinentes et règlements connexes</w:t>
      </w:r>
    </w:p>
    <w:p w14:paraId="24C09421" w14:textId="77777777" w:rsidR="002D1BF5" w:rsidRPr="00FC0AE3" w:rsidRDefault="00030B56" w:rsidP="00D82B6E">
      <w:pPr>
        <w:pStyle w:val="BodyIndent"/>
        <w:rPr>
          <w:lang w:val="fr-CA"/>
        </w:rPr>
      </w:pPr>
      <w:hyperlink r:id="rId8" w:history="1">
        <w:r w:rsidR="002D1BF5" w:rsidRPr="00FC0AE3">
          <w:rPr>
            <w:rStyle w:val="Hyperlink"/>
            <w:rFonts w:cs="Arial"/>
            <w:lang w:val="fr-CA"/>
          </w:rPr>
          <w:t>Loi sur la faillite et l’insolvabilité</w:t>
        </w:r>
      </w:hyperlink>
      <w:r w:rsidR="002D1BF5" w:rsidRPr="00FC0AE3">
        <w:rPr>
          <w:lang w:val="fr-CA"/>
        </w:rPr>
        <w:t xml:space="preserve"> (LFI) </w:t>
      </w:r>
    </w:p>
    <w:p w14:paraId="0AFF85B7" w14:textId="77777777" w:rsidR="002D1BF5" w:rsidRPr="00FC0AE3" w:rsidRDefault="00030B56" w:rsidP="00D82B6E">
      <w:pPr>
        <w:pStyle w:val="BodyIndent"/>
        <w:rPr>
          <w:lang w:val="fr-CA"/>
        </w:rPr>
      </w:pPr>
      <w:hyperlink r:id="rId9" w:history="1">
        <w:r w:rsidR="002D1BF5" w:rsidRPr="00FC0AE3">
          <w:rPr>
            <w:rStyle w:val="Hyperlink"/>
            <w:rFonts w:cs="Arial"/>
            <w:lang w:val="fr-CA"/>
          </w:rPr>
          <w:t>Loi sur le Programme de protection des salariés</w:t>
        </w:r>
      </w:hyperlink>
      <w:r w:rsidR="002D1BF5" w:rsidRPr="00FC0AE3">
        <w:rPr>
          <w:lang w:val="fr-CA"/>
        </w:rPr>
        <w:t xml:space="preserve"> (LPPS</w:t>
      </w:r>
      <w:r w:rsidR="006507CD">
        <w:rPr>
          <w:lang w:val="fr-CA"/>
        </w:rPr>
        <w:t>)</w:t>
      </w:r>
    </w:p>
    <w:p w14:paraId="07B97B26" w14:textId="77777777" w:rsidR="002D1BF5" w:rsidRPr="00FC0AE3" w:rsidRDefault="00030B56" w:rsidP="00D82B6E">
      <w:pPr>
        <w:pStyle w:val="BodyIndent"/>
        <w:rPr>
          <w:lang w:val="fr-CA"/>
        </w:rPr>
      </w:pPr>
      <w:hyperlink r:id="rId10" w:history="1">
        <w:r w:rsidR="002D1BF5" w:rsidRPr="00FC0AE3">
          <w:rPr>
            <w:rStyle w:val="Hyperlink"/>
            <w:rFonts w:cs="Arial"/>
            <w:lang w:val="fr-CA"/>
          </w:rPr>
          <w:t>Loi sur les arrangements avec les créanciers des compagnies</w:t>
        </w:r>
      </w:hyperlink>
      <w:r w:rsidR="002D1BF5" w:rsidRPr="00FC0AE3">
        <w:rPr>
          <w:lang w:val="fr-CA"/>
        </w:rPr>
        <w:t xml:space="preserve"> (LACC</w:t>
      </w:r>
      <w:r w:rsidR="006507CD">
        <w:rPr>
          <w:lang w:val="fr-CA"/>
        </w:rPr>
        <w:t>)</w:t>
      </w:r>
    </w:p>
    <w:p w14:paraId="71B62716" w14:textId="77777777" w:rsidR="002D1BF5" w:rsidRPr="00FC0AE3" w:rsidRDefault="002D1BF5" w:rsidP="00D82B6E">
      <w:pPr>
        <w:pStyle w:val="BodyIndent"/>
        <w:rPr>
          <w:lang w:val="fr-CA"/>
        </w:rPr>
      </w:pPr>
      <w:r w:rsidRPr="00FC0AE3">
        <w:rPr>
          <w:lang w:val="fr-CA"/>
        </w:rPr>
        <w:t xml:space="preserve">Sections pertinentes de la </w:t>
      </w:r>
      <w:hyperlink r:id="rId11" w:history="1">
        <w:r w:rsidRPr="00FC0AE3">
          <w:rPr>
            <w:rStyle w:val="Hyperlink"/>
            <w:rFonts w:cs="Arial"/>
            <w:lang w:val="fr-CA"/>
          </w:rPr>
          <w:t>Loi sur les liquidations et les restructurations</w:t>
        </w:r>
      </w:hyperlink>
      <w:r w:rsidRPr="00FC0AE3">
        <w:rPr>
          <w:lang w:val="fr-CA"/>
        </w:rPr>
        <w:t xml:space="preserve"> (LLR</w:t>
      </w:r>
      <w:r w:rsidR="006507CD">
        <w:rPr>
          <w:lang w:val="fr-CA"/>
        </w:rPr>
        <w:t>)</w:t>
      </w:r>
    </w:p>
    <w:p w14:paraId="74065F5D" w14:textId="77777777" w:rsidR="002D1BF5" w:rsidRPr="00FC0AE3" w:rsidRDefault="002D1BF5" w:rsidP="00D82B6E">
      <w:pPr>
        <w:pStyle w:val="BodyIndent"/>
        <w:rPr>
          <w:lang w:val="fr-CA"/>
        </w:rPr>
      </w:pPr>
      <w:r w:rsidRPr="00FC0AE3">
        <w:rPr>
          <w:lang w:val="fr-CA"/>
        </w:rPr>
        <w:t xml:space="preserve">Sections pertinentes de la </w:t>
      </w:r>
      <w:hyperlink r:id="rId12" w:history="1">
        <w:r w:rsidRPr="00FC0AE3">
          <w:rPr>
            <w:rStyle w:val="Hyperlink"/>
            <w:rFonts w:cs="Arial"/>
            <w:lang w:val="fr-CA"/>
          </w:rPr>
          <w:t>Loi canadienne sur les sociétés par actions</w:t>
        </w:r>
      </w:hyperlink>
      <w:r w:rsidRPr="00FC0AE3">
        <w:rPr>
          <w:lang w:val="fr-CA"/>
        </w:rPr>
        <w:t xml:space="preserve"> (LCSA</w:t>
      </w:r>
      <w:r w:rsidR="006507CD">
        <w:rPr>
          <w:lang w:val="fr-CA"/>
        </w:rPr>
        <w:t>)</w:t>
      </w:r>
    </w:p>
    <w:p w14:paraId="3385740A" w14:textId="77777777" w:rsidR="002D1BF5" w:rsidRPr="00FC0AE3" w:rsidRDefault="002D1BF5" w:rsidP="00241AF1">
      <w:pPr>
        <w:pStyle w:val="BodyIndent"/>
        <w:rPr>
          <w:lang w:val="fr-CA"/>
        </w:rPr>
      </w:pPr>
      <w:r w:rsidRPr="00FC0AE3">
        <w:rPr>
          <w:lang w:val="fr-CA"/>
        </w:rPr>
        <w:t xml:space="preserve">Sections pertinentes de diverses lois sur l’impôt, notamment la </w:t>
      </w:r>
      <w:hyperlink r:id="rId13" w:history="1">
        <w:r w:rsidRPr="00FC0AE3">
          <w:rPr>
            <w:rStyle w:val="Hyperlink"/>
            <w:rFonts w:cs="Arial"/>
            <w:lang w:val="fr-CA"/>
          </w:rPr>
          <w:t>Loi de l’impôt sur le revenu</w:t>
        </w:r>
      </w:hyperlink>
      <w:r w:rsidRPr="00FC0AE3">
        <w:rPr>
          <w:lang w:val="fr-CA"/>
        </w:rPr>
        <w:t xml:space="preserve"> (LIR) et la </w:t>
      </w:r>
      <w:hyperlink r:id="rId14" w:history="1">
        <w:r w:rsidRPr="00FC0AE3">
          <w:rPr>
            <w:rStyle w:val="Hyperlink"/>
            <w:rFonts w:cs="Arial"/>
            <w:lang w:val="fr-CA"/>
          </w:rPr>
          <w:t>Loi sur la taxe d’accise</w:t>
        </w:r>
      </w:hyperlink>
      <w:r w:rsidRPr="00FC0AE3">
        <w:rPr>
          <w:lang w:val="fr-CA"/>
        </w:rPr>
        <w:t xml:space="preserve"> (LTA) </w:t>
      </w:r>
      <w:r w:rsidR="00E31D32" w:rsidRPr="00FC0AE3">
        <w:rPr>
          <w:lang w:val="fr-CA"/>
        </w:rPr>
        <w:t xml:space="preserve"> </w:t>
      </w:r>
    </w:p>
    <w:p w14:paraId="21C163D9" w14:textId="77777777" w:rsidR="002D1BF5" w:rsidRPr="00FC0AE3" w:rsidRDefault="00030B56" w:rsidP="00241AF1">
      <w:pPr>
        <w:pStyle w:val="BodyIndent"/>
        <w:rPr>
          <w:lang w:val="fr-CA"/>
        </w:rPr>
      </w:pPr>
      <w:hyperlink r:id="rId15" w:history="1">
        <w:r w:rsidR="002D1BF5" w:rsidRPr="00FC0AE3">
          <w:rPr>
            <w:rStyle w:val="Hyperlink"/>
            <w:rFonts w:cs="Arial"/>
            <w:lang w:val="fr-CA"/>
          </w:rPr>
          <w:t xml:space="preserve">Loi sur la protection des renseignements personnels et les documents électroniques </w:t>
        </w:r>
      </w:hyperlink>
      <w:r w:rsidR="002D1BF5" w:rsidRPr="00FC0AE3">
        <w:rPr>
          <w:lang w:val="fr-CA"/>
        </w:rPr>
        <w:t>(LPRPDE) </w:t>
      </w:r>
    </w:p>
    <w:p w14:paraId="132048DD" w14:textId="77777777" w:rsidR="00E31D32" w:rsidRDefault="002D1BF5" w:rsidP="00D82B6E">
      <w:pPr>
        <w:pStyle w:val="BodyIndent"/>
        <w:rPr>
          <w:lang w:val="fr-CA"/>
        </w:rPr>
      </w:pPr>
      <w:r w:rsidRPr="00E31D32">
        <w:rPr>
          <w:lang w:val="fr-CA"/>
        </w:rPr>
        <w:t xml:space="preserve">Sections pertinentes de la </w:t>
      </w:r>
      <w:hyperlink r:id="rId16" w:history="1">
        <w:r w:rsidRPr="00E31D32">
          <w:rPr>
            <w:rStyle w:val="Hyperlink"/>
            <w:rFonts w:cs="Arial"/>
            <w:lang w:val="fr-CA"/>
          </w:rPr>
          <w:t>Loi sur les banques</w:t>
        </w:r>
      </w:hyperlink>
      <w:r w:rsidRPr="00E31D32">
        <w:rPr>
          <w:lang w:val="fr-CA"/>
        </w:rPr>
        <w:t xml:space="preserve"> </w:t>
      </w:r>
    </w:p>
    <w:p w14:paraId="5897EF45" w14:textId="77777777" w:rsidR="00E31D32" w:rsidRDefault="00030B56" w:rsidP="00D82B6E">
      <w:pPr>
        <w:pStyle w:val="BodyIndent"/>
        <w:rPr>
          <w:lang w:val="fr-CA"/>
        </w:rPr>
      </w:pPr>
      <w:hyperlink r:id="rId17" w:history="1">
        <w:r w:rsidR="002D1BF5" w:rsidRPr="00E31D32">
          <w:rPr>
            <w:rStyle w:val="Hyperlink"/>
            <w:rFonts w:cs="Arial"/>
            <w:lang w:val="fr-CA"/>
          </w:rPr>
          <w:t>Loi sur la médiation en matière d’endettement agricole</w:t>
        </w:r>
      </w:hyperlink>
      <w:r w:rsidR="002D1BF5" w:rsidRPr="00E31D32">
        <w:rPr>
          <w:lang w:val="fr-CA"/>
        </w:rPr>
        <w:t xml:space="preserve"> (LMEA) </w:t>
      </w:r>
    </w:p>
    <w:p w14:paraId="57C3119E" w14:textId="77777777" w:rsidR="002D1BF5" w:rsidRPr="00FC0AE3" w:rsidRDefault="00E31D32" w:rsidP="00D82B6E">
      <w:pPr>
        <w:pStyle w:val="BodyIndent"/>
        <w:rPr>
          <w:lang w:val="fr-CA"/>
        </w:rPr>
      </w:pPr>
      <w:r w:rsidRPr="00FC0AE3">
        <w:rPr>
          <w:lang w:val="fr-CA"/>
        </w:rPr>
        <w:t xml:space="preserve"> </w:t>
      </w:r>
      <w:r w:rsidR="002D1BF5" w:rsidRPr="00FC0AE3">
        <w:rPr>
          <w:lang w:val="fr-CA"/>
        </w:rPr>
        <w:t xml:space="preserve">Sections pertinentes d’autres lois fédérales ou provinciales mentionnées dans les notes de cours </w:t>
      </w:r>
    </w:p>
    <w:p w14:paraId="7187B549" w14:textId="77777777" w:rsidR="002D1BF5" w:rsidRPr="000631F9" w:rsidRDefault="002D1BF5" w:rsidP="001C157C">
      <w:pPr>
        <w:pStyle w:val="BodyIndent"/>
        <w:rPr>
          <w:lang w:val="fr-CA"/>
        </w:rPr>
      </w:pPr>
      <w:r w:rsidRPr="00FC0AE3">
        <w:rPr>
          <w:lang w:val="fr-CA"/>
        </w:rPr>
        <w:t xml:space="preserve">Sections pertinentes du </w:t>
      </w:r>
      <w:hyperlink r:id="rId18" w:history="1">
        <w:r w:rsidRPr="00FC0AE3">
          <w:rPr>
            <w:rStyle w:val="Hyperlink"/>
            <w:rFonts w:cs="Arial"/>
            <w:lang w:val="fr-CA"/>
          </w:rPr>
          <w:t xml:space="preserve">U.S. </w:t>
        </w:r>
        <w:proofErr w:type="spellStart"/>
        <w:r w:rsidRPr="00FC0AE3">
          <w:rPr>
            <w:rStyle w:val="Hyperlink"/>
            <w:rFonts w:cs="Arial"/>
            <w:lang w:val="fr-CA"/>
          </w:rPr>
          <w:t>Bankruptcy</w:t>
        </w:r>
        <w:proofErr w:type="spellEnd"/>
        <w:r w:rsidRPr="00FC0AE3">
          <w:rPr>
            <w:rStyle w:val="Hyperlink"/>
            <w:rFonts w:cs="Arial"/>
            <w:lang w:val="fr-CA"/>
          </w:rPr>
          <w:t xml:space="preserve"> Code</w:t>
        </w:r>
      </w:hyperlink>
    </w:p>
    <w:p w14:paraId="7E429805" w14:textId="77777777" w:rsidR="000631F9" w:rsidRDefault="000631F9" w:rsidP="001C157C">
      <w:pPr>
        <w:pStyle w:val="BodyIndent"/>
        <w:rPr>
          <w:lang w:val="fr-CA"/>
        </w:rPr>
      </w:pPr>
      <w:r w:rsidRPr="000631F9">
        <w:rPr>
          <w:lang w:val="fr-CA"/>
        </w:rPr>
        <w:t xml:space="preserve">Loi sur les </w:t>
      </w:r>
      <w:proofErr w:type="spellStart"/>
      <w:r w:rsidRPr="000631F9">
        <w:rPr>
          <w:lang w:val="fr-CA"/>
        </w:rPr>
        <w:t>societies</w:t>
      </w:r>
      <w:proofErr w:type="spellEnd"/>
      <w:r w:rsidRPr="000631F9">
        <w:rPr>
          <w:lang w:val="fr-CA"/>
        </w:rPr>
        <w:t xml:space="preserve"> pas actions (Qu</w:t>
      </w:r>
      <w:r>
        <w:rPr>
          <w:lang w:val="fr-CA"/>
        </w:rPr>
        <w:t>ébec)</w:t>
      </w:r>
    </w:p>
    <w:p w14:paraId="5BCEE43C" w14:textId="77777777" w:rsidR="002D1BF5" w:rsidRPr="00FC0AE3" w:rsidRDefault="002D1BF5" w:rsidP="001C157C">
      <w:pPr>
        <w:pStyle w:val="BodyIndent"/>
        <w:numPr>
          <w:ilvl w:val="0"/>
          <w:numId w:val="0"/>
        </w:numPr>
        <w:rPr>
          <w:lang w:val="fr-CA"/>
        </w:rPr>
      </w:pPr>
    </w:p>
    <w:p w14:paraId="2B16CBB5" w14:textId="77777777" w:rsidR="002D1BF5" w:rsidRPr="00FC0AE3" w:rsidRDefault="002D1BF5" w:rsidP="00711802">
      <w:pPr>
        <w:pStyle w:val="BodyIndent"/>
        <w:numPr>
          <w:ilvl w:val="0"/>
          <w:numId w:val="0"/>
        </w:numPr>
        <w:rPr>
          <w:lang w:val="fr-CA"/>
        </w:rPr>
      </w:pPr>
      <w:r w:rsidRPr="00FC0AE3">
        <w:rPr>
          <w:rFonts w:eastAsia="SimSun"/>
          <w:color w:val="004270"/>
          <w:sz w:val="24"/>
          <w:szCs w:val="24"/>
          <w:lang w:val="fr-CA"/>
        </w:rPr>
        <w:t>Ouvrages de référence et jurisprudence</w:t>
      </w:r>
    </w:p>
    <w:p w14:paraId="2491A68A" w14:textId="77777777" w:rsidR="002D1BF5" w:rsidRPr="00FC0AE3" w:rsidRDefault="002D1BF5" w:rsidP="00711802">
      <w:pPr>
        <w:pStyle w:val="ListParagraph"/>
        <w:rPr>
          <w:lang w:val="fr-CA"/>
        </w:rPr>
      </w:pPr>
    </w:p>
    <w:p w14:paraId="02AEB010" w14:textId="77777777" w:rsidR="002D1BF5" w:rsidRPr="00FC0AE3" w:rsidRDefault="002D1BF5" w:rsidP="00FC0AE3">
      <w:pPr>
        <w:pStyle w:val="BodyIndent"/>
        <w:rPr>
          <w:lang w:val="fr-CA"/>
        </w:rPr>
      </w:pPr>
      <w:r w:rsidRPr="00FC0AE3">
        <w:rPr>
          <w:lang w:val="fr-CA"/>
        </w:rPr>
        <w:t xml:space="preserve">Dernière édition du </w:t>
      </w:r>
      <w:r w:rsidR="00E31D32">
        <w:rPr>
          <w:lang w:val="fr-CA"/>
        </w:rPr>
        <w:t>manuel</w:t>
      </w:r>
      <w:r w:rsidRPr="00FC0AE3">
        <w:rPr>
          <w:lang w:val="fr-CA"/>
        </w:rPr>
        <w:t xml:space="preserve"> intitulé </w:t>
      </w:r>
      <w:r w:rsidRPr="00FC0AE3">
        <w:rPr>
          <w:i/>
          <w:iCs/>
          <w:lang w:val="fr-CA"/>
        </w:rPr>
        <w:t xml:space="preserve">Législation canadienne en faillite et insolvabilité / Canadian </w:t>
      </w:r>
      <w:proofErr w:type="spellStart"/>
      <w:r w:rsidRPr="00FC0AE3">
        <w:rPr>
          <w:i/>
          <w:iCs/>
          <w:lang w:val="fr-CA"/>
        </w:rPr>
        <w:t>Legislation</w:t>
      </w:r>
      <w:proofErr w:type="spellEnd"/>
      <w:r w:rsidRPr="00FC0AE3">
        <w:rPr>
          <w:i/>
          <w:iCs/>
          <w:lang w:val="fr-CA"/>
        </w:rPr>
        <w:t xml:space="preserve"> on </w:t>
      </w:r>
      <w:proofErr w:type="spellStart"/>
      <w:r w:rsidRPr="00FC0AE3">
        <w:rPr>
          <w:i/>
          <w:iCs/>
          <w:lang w:val="fr-CA"/>
        </w:rPr>
        <w:t>Bankruptcy</w:t>
      </w:r>
      <w:proofErr w:type="spellEnd"/>
      <w:r w:rsidRPr="00FC0AE3">
        <w:rPr>
          <w:i/>
          <w:iCs/>
          <w:lang w:val="fr-CA"/>
        </w:rPr>
        <w:t xml:space="preserve"> and </w:t>
      </w:r>
      <w:proofErr w:type="spellStart"/>
      <w:r w:rsidRPr="00FC0AE3">
        <w:rPr>
          <w:i/>
          <w:iCs/>
          <w:lang w:val="fr-CA"/>
        </w:rPr>
        <w:t>Insolvency</w:t>
      </w:r>
      <w:proofErr w:type="spellEnd"/>
      <w:r w:rsidRPr="00FC0AE3">
        <w:rPr>
          <w:lang w:val="fr-CA"/>
        </w:rPr>
        <w:t xml:space="preserve">. Bernard Boucher et </w:t>
      </w:r>
      <w:proofErr w:type="spellStart"/>
      <w:r w:rsidRPr="00FC0AE3">
        <w:rPr>
          <w:lang w:val="fr-CA"/>
        </w:rPr>
        <w:t>Yean-Yves</w:t>
      </w:r>
      <w:proofErr w:type="spellEnd"/>
      <w:r>
        <w:rPr>
          <w:lang w:val="fr-CA"/>
        </w:rPr>
        <w:t> </w:t>
      </w:r>
      <w:r w:rsidRPr="00FC0AE3">
        <w:rPr>
          <w:lang w:val="fr-CA"/>
        </w:rPr>
        <w:t xml:space="preserve">Fortin (sous la direction de), Thomson </w:t>
      </w:r>
      <w:proofErr w:type="spellStart"/>
      <w:r w:rsidRPr="00FC0AE3">
        <w:rPr>
          <w:lang w:val="fr-CA"/>
        </w:rPr>
        <w:t>Carswell</w:t>
      </w:r>
      <w:proofErr w:type="spellEnd"/>
      <w:r>
        <w:rPr>
          <w:lang w:val="fr-CA"/>
        </w:rPr>
        <w:t>.</w:t>
      </w:r>
      <w:r w:rsidRPr="00FC0AE3">
        <w:rPr>
          <w:lang w:val="fr-CA"/>
        </w:rPr>
        <w:t xml:space="preserve"> </w:t>
      </w:r>
    </w:p>
    <w:p w14:paraId="02A50492" w14:textId="77777777" w:rsidR="002D1BF5" w:rsidRPr="00FC0AE3" w:rsidRDefault="002D1BF5" w:rsidP="00FC0AE3">
      <w:pPr>
        <w:pStyle w:val="BodyIndent"/>
        <w:rPr>
          <w:lang w:val="fr-CA"/>
        </w:rPr>
      </w:pPr>
      <w:r w:rsidRPr="00FC0AE3">
        <w:rPr>
          <w:lang w:val="fr-CA"/>
        </w:rPr>
        <w:t xml:space="preserve">Dernière édition du </w:t>
      </w:r>
      <w:r w:rsidR="00E31D32">
        <w:rPr>
          <w:lang w:val="fr-CA"/>
        </w:rPr>
        <w:t>manuel</w:t>
      </w:r>
      <w:r w:rsidRPr="00FC0AE3">
        <w:rPr>
          <w:lang w:val="fr-CA"/>
        </w:rPr>
        <w:t xml:space="preserve"> intitulé </w:t>
      </w:r>
      <w:proofErr w:type="spellStart"/>
      <w:r w:rsidRPr="00FC0AE3">
        <w:rPr>
          <w:i/>
          <w:iCs/>
          <w:lang w:val="fr-CA"/>
        </w:rPr>
        <w:t>Annotated</w:t>
      </w:r>
      <w:proofErr w:type="spellEnd"/>
      <w:r w:rsidRPr="00FC0AE3">
        <w:rPr>
          <w:i/>
          <w:iCs/>
          <w:lang w:val="fr-CA"/>
        </w:rPr>
        <w:t xml:space="preserve"> </w:t>
      </w:r>
      <w:proofErr w:type="spellStart"/>
      <w:r w:rsidRPr="00FC0AE3">
        <w:rPr>
          <w:i/>
          <w:iCs/>
          <w:lang w:val="fr-CA"/>
        </w:rPr>
        <w:t>Bankruptcy</w:t>
      </w:r>
      <w:proofErr w:type="spellEnd"/>
      <w:r w:rsidRPr="00FC0AE3">
        <w:rPr>
          <w:i/>
          <w:iCs/>
          <w:lang w:val="fr-CA"/>
        </w:rPr>
        <w:t xml:space="preserve"> and </w:t>
      </w:r>
      <w:proofErr w:type="spellStart"/>
      <w:r w:rsidRPr="00FC0AE3">
        <w:rPr>
          <w:i/>
          <w:iCs/>
          <w:lang w:val="fr-CA"/>
        </w:rPr>
        <w:t>Insolvency</w:t>
      </w:r>
      <w:proofErr w:type="spellEnd"/>
      <w:r w:rsidRPr="00FC0AE3">
        <w:rPr>
          <w:i/>
          <w:iCs/>
          <w:lang w:val="fr-CA"/>
        </w:rPr>
        <w:t xml:space="preserve"> </w:t>
      </w:r>
      <w:proofErr w:type="spellStart"/>
      <w:r w:rsidRPr="00FC0AE3">
        <w:rPr>
          <w:i/>
          <w:iCs/>
          <w:lang w:val="fr-CA"/>
        </w:rPr>
        <w:t>Act</w:t>
      </w:r>
      <w:proofErr w:type="spellEnd"/>
      <w:r w:rsidRPr="00FC0AE3">
        <w:rPr>
          <w:lang w:val="fr-CA"/>
        </w:rPr>
        <w:t>. Lloyd</w:t>
      </w:r>
      <w:r>
        <w:rPr>
          <w:lang w:val="fr-CA"/>
        </w:rPr>
        <w:t> </w:t>
      </w:r>
      <w:r w:rsidRPr="00FC0AE3">
        <w:rPr>
          <w:lang w:val="fr-CA"/>
        </w:rPr>
        <w:t xml:space="preserve">W. Houlden, Geoffrey B. </w:t>
      </w:r>
      <w:proofErr w:type="spellStart"/>
      <w:r w:rsidRPr="00FC0AE3">
        <w:rPr>
          <w:lang w:val="fr-CA"/>
        </w:rPr>
        <w:t>Morawetz</w:t>
      </w:r>
      <w:proofErr w:type="spellEnd"/>
      <w:r w:rsidRPr="00FC0AE3">
        <w:rPr>
          <w:lang w:val="fr-CA"/>
        </w:rPr>
        <w:t xml:space="preserve"> et Janis P. Sarra (sous la direction de), Thomson </w:t>
      </w:r>
      <w:proofErr w:type="spellStart"/>
      <w:r w:rsidRPr="00FC0AE3">
        <w:rPr>
          <w:lang w:val="fr-CA"/>
        </w:rPr>
        <w:t>Carswell</w:t>
      </w:r>
      <w:proofErr w:type="spellEnd"/>
      <w:r w:rsidRPr="00FC0AE3">
        <w:rPr>
          <w:lang w:val="fr-CA"/>
        </w:rPr>
        <w:t xml:space="preserve">. </w:t>
      </w:r>
    </w:p>
    <w:p w14:paraId="0FAD15B5" w14:textId="77777777" w:rsidR="002D1BF5" w:rsidRDefault="002D1BF5" w:rsidP="00DC5EB3">
      <w:pPr>
        <w:pStyle w:val="BodyIndent"/>
        <w:rPr>
          <w:lang w:val="fr-CA"/>
        </w:rPr>
      </w:pPr>
      <w:r w:rsidRPr="00FC0AE3">
        <w:rPr>
          <w:lang w:val="fr-CA"/>
        </w:rPr>
        <w:t xml:space="preserve">Toute la jurisprudence jusqu’au mois de janvier de l’année à laquelle le candidat passe </w:t>
      </w:r>
      <w:r>
        <w:rPr>
          <w:lang w:val="fr-CA"/>
        </w:rPr>
        <w:t>un</w:t>
      </w:r>
      <w:r w:rsidRPr="00FC0AE3">
        <w:rPr>
          <w:lang w:val="fr-CA"/>
        </w:rPr>
        <w:t xml:space="preserve"> examen du Programme, comme </w:t>
      </w:r>
      <w:r>
        <w:rPr>
          <w:lang w:val="fr-CA"/>
        </w:rPr>
        <w:t>elle figure</w:t>
      </w:r>
      <w:r w:rsidRPr="00FC0AE3">
        <w:rPr>
          <w:lang w:val="fr-CA"/>
        </w:rPr>
        <w:t>, par exemple, dans les bulletins ayant trait à l’ouvrage d’</w:t>
      </w:r>
      <w:proofErr w:type="spellStart"/>
      <w:r w:rsidRPr="00FC0AE3">
        <w:rPr>
          <w:lang w:val="fr-CA"/>
        </w:rPr>
        <w:t>Houlden</w:t>
      </w:r>
      <w:proofErr w:type="spellEnd"/>
      <w:r w:rsidRPr="00FC0AE3">
        <w:rPr>
          <w:lang w:val="fr-CA"/>
        </w:rPr>
        <w:t xml:space="preserve"> &amp; </w:t>
      </w:r>
      <w:proofErr w:type="spellStart"/>
      <w:r w:rsidRPr="00FC0AE3">
        <w:rPr>
          <w:lang w:val="fr-CA"/>
        </w:rPr>
        <w:t>Morawetz</w:t>
      </w:r>
      <w:proofErr w:type="spellEnd"/>
      <w:r w:rsidRPr="00FC0AE3">
        <w:rPr>
          <w:lang w:val="fr-CA"/>
        </w:rPr>
        <w:t xml:space="preserve"> ou les cas publiés dans </w:t>
      </w:r>
      <w:r w:rsidRPr="00FC0AE3">
        <w:rPr>
          <w:i/>
          <w:iCs/>
          <w:lang w:val="fr-CA"/>
        </w:rPr>
        <w:t xml:space="preserve">Canadian </w:t>
      </w:r>
      <w:proofErr w:type="spellStart"/>
      <w:r w:rsidRPr="00FC0AE3">
        <w:rPr>
          <w:i/>
          <w:iCs/>
          <w:lang w:val="fr-CA"/>
        </w:rPr>
        <w:t>Bankruptcy</w:t>
      </w:r>
      <w:proofErr w:type="spellEnd"/>
      <w:r w:rsidRPr="00FC0AE3">
        <w:rPr>
          <w:i/>
          <w:iCs/>
          <w:lang w:val="fr-CA"/>
        </w:rPr>
        <w:t xml:space="preserve"> Reports </w:t>
      </w:r>
      <w:r w:rsidRPr="00FC0AE3">
        <w:rPr>
          <w:lang w:val="fr-CA"/>
        </w:rPr>
        <w:t>(</w:t>
      </w:r>
      <w:proofErr w:type="spellStart"/>
      <w:r w:rsidRPr="00FC0AE3">
        <w:rPr>
          <w:lang w:val="fr-CA"/>
        </w:rPr>
        <w:t>Carswell</w:t>
      </w:r>
      <w:proofErr w:type="spellEnd"/>
      <w:r w:rsidRPr="00FC0AE3">
        <w:rPr>
          <w:lang w:val="fr-CA"/>
        </w:rPr>
        <w:t>)</w:t>
      </w:r>
      <w:r>
        <w:rPr>
          <w:lang w:val="fr-CA"/>
        </w:rPr>
        <w:t>.</w:t>
      </w:r>
    </w:p>
    <w:p w14:paraId="7E2681DC" w14:textId="77777777" w:rsidR="00DF3A88" w:rsidRDefault="00DF3A88" w:rsidP="00DF3A88">
      <w:pPr>
        <w:pStyle w:val="BodyIndent"/>
        <w:rPr>
          <w:i/>
          <w:iCs/>
          <w:lang w:val="fr-CA"/>
        </w:rPr>
      </w:pPr>
      <w:r w:rsidRPr="00DF3A88">
        <w:rPr>
          <w:lang w:val="fr-CA"/>
        </w:rPr>
        <w:t>La faillite et l'insolvabilité au Québec, 2e éd.</w:t>
      </w:r>
      <w:r w:rsidR="004C6269">
        <w:rPr>
          <w:lang w:val="fr-CA"/>
        </w:rPr>
        <w:t xml:space="preserve"> </w:t>
      </w:r>
      <w:r>
        <w:rPr>
          <w:lang w:val="fr-CA"/>
        </w:rPr>
        <w:t>Jacques Deslauriers. 2011. Wilson et Lafleur.</w:t>
      </w:r>
    </w:p>
    <w:p w14:paraId="2650C795" w14:textId="77777777" w:rsidR="002D1BF5" w:rsidRPr="00FC0AE3" w:rsidRDefault="002D1BF5" w:rsidP="00E66AB9">
      <w:pPr>
        <w:pStyle w:val="Appendixtopic"/>
        <w:spacing w:before="360" w:after="240"/>
        <w:rPr>
          <w:lang w:val="fr-CA"/>
        </w:rPr>
      </w:pPr>
      <w:r w:rsidRPr="00FC0AE3">
        <w:rPr>
          <w:lang w:val="fr-CA"/>
        </w:rPr>
        <w:t xml:space="preserve">Textes </w:t>
      </w:r>
      <w:r>
        <w:rPr>
          <w:lang w:val="fr-CA"/>
        </w:rPr>
        <w:t>à vocation réglementaire</w:t>
      </w:r>
    </w:p>
    <w:p w14:paraId="04056DBC" w14:textId="77777777" w:rsidR="002D1BF5" w:rsidRPr="00FC0AE3" w:rsidRDefault="002D1BF5" w:rsidP="00DC5EB3">
      <w:pPr>
        <w:pStyle w:val="BodyIndent"/>
        <w:rPr>
          <w:lang w:val="fr-CA"/>
        </w:rPr>
      </w:pPr>
      <w:r w:rsidRPr="00FC0AE3">
        <w:rPr>
          <w:lang w:val="fr-CA"/>
        </w:rPr>
        <w:t xml:space="preserve">Instructions, formulaires, circulaires, exposés de position, etc., publiés par le </w:t>
      </w:r>
      <w:hyperlink r:id="rId19" w:history="1">
        <w:r w:rsidRPr="00FC0AE3">
          <w:rPr>
            <w:rStyle w:val="Hyperlink"/>
            <w:rFonts w:cs="Arial"/>
            <w:lang w:val="fr-CA"/>
          </w:rPr>
          <w:t>Bureau du surintendant des faillites</w:t>
        </w:r>
      </w:hyperlink>
      <w:r w:rsidRPr="00FC0AE3">
        <w:rPr>
          <w:lang w:val="fr-CA"/>
        </w:rPr>
        <w:t xml:space="preserve"> (BSF) </w:t>
      </w:r>
    </w:p>
    <w:p w14:paraId="5F4F672A" w14:textId="77777777" w:rsidR="002D1BF5" w:rsidRPr="00FC0AE3" w:rsidRDefault="002D1BF5" w:rsidP="00E66AB9">
      <w:pPr>
        <w:pStyle w:val="Appendixtopic"/>
        <w:spacing w:before="360" w:after="240"/>
        <w:rPr>
          <w:lang w:val="fr-CA"/>
        </w:rPr>
      </w:pPr>
      <w:r w:rsidRPr="00FC0AE3">
        <w:rPr>
          <w:lang w:val="fr-CA"/>
        </w:rPr>
        <w:t>Lignes directrices professionnelles de l’ACPIR</w:t>
      </w:r>
    </w:p>
    <w:p w14:paraId="043593FF" w14:textId="411AEDB2" w:rsidR="002D1BF5" w:rsidRPr="00FC0AE3" w:rsidRDefault="00030B56" w:rsidP="00B34DA3">
      <w:pPr>
        <w:pStyle w:val="BodyIndent"/>
        <w:rPr>
          <w:lang w:val="fr-CA"/>
        </w:rPr>
      </w:pPr>
      <w:hyperlink r:id="rId20" w:history="1">
        <w:r w:rsidR="002D1BF5" w:rsidRPr="000660CC">
          <w:rPr>
            <w:rStyle w:val="Hyperlink"/>
            <w:rFonts w:cs="Arial"/>
            <w:lang w:val="fr-CA"/>
          </w:rPr>
          <w:t>Normes de pratique professionnelles </w:t>
        </w:r>
      </w:hyperlink>
    </w:p>
    <w:p w14:paraId="167B5A08" w14:textId="47A9213F" w:rsidR="002D1BF5" w:rsidRDefault="00030B56" w:rsidP="00FC0AE3">
      <w:pPr>
        <w:pStyle w:val="BodyIndent"/>
        <w:rPr>
          <w:lang w:val="fr-CA"/>
        </w:rPr>
      </w:pPr>
      <w:hyperlink r:id="rId21" w:history="1">
        <w:r w:rsidR="002D1BF5" w:rsidRPr="000660CC">
          <w:rPr>
            <w:rStyle w:val="Hyperlink"/>
            <w:rFonts w:cs="Arial"/>
            <w:lang w:val="fr-CA"/>
          </w:rPr>
          <w:t>Règles de conduite professionnelle </w:t>
        </w:r>
      </w:hyperlink>
      <w:r w:rsidR="00A76F80">
        <w:rPr>
          <w:lang w:val="fr-CA"/>
        </w:rPr>
        <w:t xml:space="preserve"> </w:t>
      </w:r>
    </w:p>
    <w:p w14:paraId="1539A7D2" w14:textId="6D5BDE93" w:rsidR="00182B23" w:rsidRPr="00182B23" w:rsidRDefault="00030B56" w:rsidP="00182B23">
      <w:pPr>
        <w:pStyle w:val="BodyIndent"/>
        <w:rPr>
          <w:lang w:val="fr-CA"/>
        </w:rPr>
      </w:pPr>
      <w:hyperlink r:id="rId22" w:history="1">
        <w:r w:rsidR="00182B23" w:rsidRPr="000660CC">
          <w:rPr>
            <w:rStyle w:val="Hyperlink"/>
            <w:rFonts w:cs="Arial"/>
            <w:lang w:val="fr-CA"/>
          </w:rPr>
          <w:t xml:space="preserve">Règlements </w:t>
        </w:r>
        <w:r w:rsidR="000660CC" w:rsidRPr="000660CC">
          <w:rPr>
            <w:rStyle w:val="Hyperlink"/>
            <w:rFonts w:cs="Arial"/>
            <w:lang w:val="fr-CA"/>
          </w:rPr>
          <w:t>administratif</w:t>
        </w:r>
      </w:hyperlink>
    </w:p>
    <w:p w14:paraId="5FE7DEA1" w14:textId="77777777" w:rsidR="002D1BF5" w:rsidRPr="00FC0AE3" w:rsidRDefault="002D1BF5" w:rsidP="00E66AB9">
      <w:pPr>
        <w:pStyle w:val="Appendixtopic"/>
        <w:spacing w:before="360" w:after="240"/>
        <w:rPr>
          <w:lang w:val="fr-CA"/>
        </w:rPr>
      </w:pPr>
      <w:r w:rsidRPr="00FC0AE3">
        <w:rPr>
          <w:lang w:val="fr-CA"/>
        </w:rPr>
        <w:t>Publications spécialisées</w:t>
      </w:r>
    </w:p>
    <w:p w14:paraId="5D54C14B" w14:textId="77777777" w:rsidR="002D1BF5" w:rsidRPr="00FC0AE3" w:rsidRDefault="00030B56" w:rsidP="00FC0AE3">
      <w:pPr>
        <w:pStyle w:val="BodyIndent"/>
        <w:rPr>
          <w:lang w:val="fr-CA"/>
        </w:rPr>
      </w:pPr>
      <w:hyperlink r:id="rId23" w:history="1">
        <w:r w:rsidR="002D1BF5" w:rsidRPr="00FC0AE3">
          <w:rPr>
            <w:rStyle w:val="Hyperlink"/>
            <w:rFonts w:cs="Arial"/>
            <w:lang w:val="fr-CA"/>
          </w:rPr>
          <w:t>Articles des membres</w:t>
        </w:r>
      </w:hyperlink>
      <w:r w:rsidR="002D1BF5" w:rsidRPr="00FC0AE3">
        <w:rPr>
          <w:lang w:val="fr-CA"/>
        </w:rPr>
        <w:t xml:space="preserve"> publi</w:t>
      </w:r>
      <w:r w:rsidR="00A76F80">
        <w:rPr>
          <w:lang w:val="fr-CA"/>
        </w:rPr>
        <w:t>és sur le site Web de l’ACPIR</w:t>
      </w:r>
    </w:p>
    <w:p w14:paraId="17884F49" w14:textId="77777777" w:rsidR="002D1BF5" w:rsidRPr="00FC0AE3" w:rsidRDefault="002D1BF5" w:rsidP="00B34DA3">
      <w:pPr>
        <w:pStyle w:val="BodyIndent"/>
        <w:rPr>
          <w:lang w:val="fr-CA"/>
        </w:rPr>
      </w:pPr>
      <w:r w:rsidRPr="00FC0AE3">
        <w:rPr>
          <w:lang w:val="fr-CA"/>
        </w:rPr>
        <w:t xml:space="preserve">Numéros de la publication </w:t>
      </w:r>
      <w:hyperlink r:id="rId24" w:history="1">
        <w:r w:rsidRPr="00FC0AE3">
          <w:rPr>
            <w:rStyle w:val="Hyperlink"/>
            <w:rFonts w:cs="Arial"/>
            <w:lang w:val="fr-CA"/>
          </w:rPr>
          <w:t>Bulletin</w:t>
        </w:r>
      </w:hyperlink>
      <w:r w:rsidRPr="00FC0AE3">
        <w:rPr>
          <w:lang w:val="fr-CA"/>
        </w:rPr>
        <w:t xml:space="preserve"> des </w:t>
      </w:r>
      <w:r w:rsidR="00167C9C">
        <w:rPr>
          <w:lang w:val="fr-CA"/>
        </w:rPr>
        <w:t>deux</w:t>
      </w:r>
      <w:r w:rsidRPr="00FC0AE3">
        <w:rPr>
          <w:lang w:val="fr-CA"/>
        </w:rPr>
        <w:t xml:space="preserve"> dernières années</w:t>
      </w:r>
    </w:p>
    <w:p w14:paraId="635672B8" w14:textId="77777777" w:rsidR="002D1BF5" w:rsidRPr="00FC0AE3" w:rsidRDefault="002D1BF5" w:rsidP="00B34DA3">
      <w:pPr>
        <w:pStyle w:val="BodyIndent"/>
        <w:rPr>
          <w:lang w:val="fr-CA"/>
        </w:rPr>
      </w:pPr>
      <w:r w:rsidRPr="00FC0AE3">
        <w:rPr>
          <w:lang w:val="fr-CA"/>
        </w:rPr>
        <w:t xml:space="preserve">Numéros du </w:t>
      </w:r>
      <w:hyperlink r:id="rId25" w:history="1">
        <w:r w:rsidRPr="00A76F80">
          <w:rPr>
            <w:rStyle w:val="Hyperlink"/>
            <w:rFonts w:cs="Arial"/>
            <w:lang w:val="fr-CA"/>
          </w:rPr>
          <w:t xml:space="preserve">magazine </w:t>
        </w:r>
        <w:proofErr w:type="spellStart"/>
        <w:r w:rsidRPr="00A76F80">
          <w:rPr>
            <w:rStyle w:val="Hyperlink"/>
            <w:rFonts w:cs="Arial"/>
            <w:i/>
            <w:iCs/>
            <w:lang w:val="fr-CA"/>
          </w:rPr>
          <w:t>Réétablir</w:t>
        </w:r>
        <w:proofErr w:type="spellEnd"/>
        <w:r w:rsidRPr="00A76F80">
          <w:rPr>
            <w:rStyle w:val="Hyperlink"/>
            <w:rFonts w:cs="Arial"/>
            <w:i/>
            <w:iCs/>
            <w:lang w:val="fr-CA"/>
          </w:rPr>
          <w:t xml:space="preserve"> le succès</w:t>
        </w:r>
      </w:hyperlink>
      <w:r w:rsidRPr="00FC0AE3">
        <w:rPr>
          <w:lang w:val="fr-CA"/>
        </w:rPr>
        <w:t xml:space="preserve"> publiés au cours des </w:t>
      </w:r>
      <w:r w:rsidR="00167C9C">
        <w:rPr>
          <w:lang w:val="fr-CA"/>
        </w:rPr>
        <w:t>deux</w:t>
      </w:r>
      <w:r w:rsidRPr="00FC0AE3">
        <w:rPr>
          <w:lang w:val="fr-CA"/>
        </w:rPr>
        <w:t xml:space="preserve"> dernières années</w:t>
      </w:r>
      <w:r w:rsidR="00A76F80" w:rsidRPr="00FC0AE3">
        <w:rPr>
          <w:lang w:val="fr-CA"/>
        </w:rPr>
        <w:t xml:space="preserve"> </w:t>
      </w:r>
    </w:p>
    <w:p w14:paraId="067BD676" w14:textId="3B3996D3" w:rsidR="002D1BF5" w:rsidRPr="00FC0AE3" w:rsidRDefault="00030B56" w:rsidP="00FC0AE3">
      <w:pPr>
        <w:pStyle w:val="BodyIndent"/>
        <w:rPr>
          <w:lang w:val="fr-CA"/>
        </w:rPr>
      </w:pPr>
      <w:hyperlink r:id="rId26" w:history="1">
        <w:r w:rsidR="002D1BF5" w:rsidRPr="004B65EB">
          <w:rPr>
            <w:rStyle w:val="Hyperlink"/>
            <w:rFonts w:cs="Arial"/>
            <w:i/>
            <w:iCs/>
          </w:rPr>
          <w:t>Annual Review of Insolvency Law</w:t>
        </w:r>
      </w:hyperlink>
      <w:r w:rsidR="002D1BF5" w:rsidRPr="00DF3A88">
        <w:t xml:space="preserve">. </w:t>
      </w:r>
      <w:r w:rsidR="002D1BF5" w:rsidRPr="00FC0AE3">
        <w:rPr>
          <w:lang w:val="fr-CA"/>
        </w:rPr>
        <w:t>(</w:t>
      </w:r>
      <w:proofErr w:type="gramStart"/>
      <w:r w:rsidR="002D1BF5" w:rsidRPr="00FC0AE3">
        <w:rPr>
          <w:lang w:val="fr-CA"/>
        </w:rPr>
        <w:t>sous</w:t>
      </w:r>
      <w:proofErr w:type="gramEnd"/>
      <w:r w:rsidR="002D1BF5" w:rsidRPr="00FC0AE3">
        <w:rPr>
          <w:lang w:val="fr-CA"/>
        </w:rPr>
        <w:t xml:space="preserve"> la </w:t>
      </w:r>
      <w:r w:rsidR="00A12C2D">
        <w:rPr>
          <w:lang w:val="fr-CA"/>
        </w:rPr>
        <w:t>licence d’utilisation</w:t>
      </w:r>
      <w:r w:rsidR="002D1BF5" w:rsidRPr="00FC0AE3">
        <w:rPr>
          <w:lang w:val="fr-CA"/>
        </w:rPr>
        <w:t xml:space="preserve"> de), </w:t>
      </w:r>
      <w:r w:rsidR="00A12C2D">
        <w:rPr>
          <w:lang w:val="fr-CA"/>
        </w:rPr>
        <w:t>CanLII</w:t>
      </w:r>
      <w:r w:rsidR="002D1BF5">
        <w:rPr>
          <w:lang w:val="fr-CA"/>
        </w:rPr>
        <w:t>,</w:t>
      </w:r>
      <w:r w:rsidR="002D1BF5" w:rsidRPr="00FC0AE3">
        <w:rPr>
          <w:lang w:val="fr-CA"/>
        </w:rPr>
        <w:t xml:space="preserve"> </w:t>
      </w:r>
      <w:r w:rsidR="002D1BF5">
        <w:rPr>
          <w:lang w:val="fr-CA"/>
        </w:rPr>
        <w:t xml:space="preserve">éditions </w:t>
      </w:r>
      <w:r w:rsidR="002D1BF5" w:rsidRPr="00FC0AE3">
        <w:rPr>
          <w:lang w:val="fr-CA"/>
        </w:rPr>
        <w:t xml:space="preserve">des </w:t>
      </w:r>
      <w:r w:rsidR="00A12C2D">
        <w:rPr>
          <w:lang w:val="fr-CA"/>
        </w:rPr>
        <w:t xml:space="preserve">deux </w:t>
      </w:r>
      <w:r w:rsidR="002D1BF5" w:rsidRPr="00FC0AE3">
        <w:rPr>
          <w:lang w:val="fr-CA"/>
        </w:rPr>
        <w:t>dernières années</w:t>
      </w:r>
    </w:p>
    <w:p w14:paraId="274D119B" w14:textId="77777777" w:rsidR="002D1BF5" w:rsidRPr="00FC0AE3" w:rsidRDefault="002D1BF5" w:rsidP="00E66AB9">
      <w:pPr>
        <w:pStyle w:val="Appendixtopic"/>
        <w:spacing w:before="360" w:after="240"/>
        <w:rPr>
          <w:lang w:val="fr-CA"/>
        </w:rPr>
      </w:pPr>
      <w:r w:rsidRPr="00FC0AE3">
        <w:rPr>
          <w:lang w:val="fr-CA"/>
        </w:rPr>
        <w:lastRenderedPageBreak/>
        <w:t>Culture générale – Textes au programme</w:t>
      </w:r>
    </w:p>
    <w:p w14:paraId="52A93469" w14:textId="77777777" w:rsidR="002D1BF5" w:rsidRPr="00FC0AE3" w:rsidRDefault="002D1BF5" w:rsidP="00B34DA3">
      <w:pPr>
        <w:pStyle w:val="BodyIndent"/>
        <w:rPr>
          <w:lang w:val="fr-CA"/>
        </w:rPr>
      </w:pPr>
      <w:r w:rsidRPr="00FC0AE3">
        <w:rPr>
          <w:lang w:val="fr-CA"/>
        </w:rPr>
        <w:t xml:space="preserve">Principes de comptabilité présentés dans les ouvrages suivants : </w:t>
      </w:r>
    </w:p>
    <w:p w14:paraId="404C7676" w14:textId="77777777" w:rsidR="002D1BF5" w:rsidRPr="00FC0AE3" w:rsidRDefault="002D1BF5" w:rsidP="00FC0AE3">
      <w:pPr>
        <w:pStyle w:val="bodyindent2"/>
        <w:rPr>
          <w:lang w:val="fr-CA"/>
        </w:rPr>
      </w:pPr>
      <w:r w:rsidRPr="00FC0AE3">
        <w:rPr>
          <w:i/>
          <w:iCs/>
          <w:lang w:val="fr-CA"/>
        </w:rPr>
        <w:t>La comptabilité de management</w:t>
      </w:r>
      <w:r w:rsidRPr="00FC0AE3">
        <w:rPr>
          <w:lang w:val="fr-CA"/>
        </w:rPr>
        <w:t>. Hugues Boisvert, Claude Laurin, Alexander </w:t>
      </w:r>
      <w:proofErr w:type="spellStart"/>
      <w:r w:rsidRPr="00FC0AE3">
        <w:rPr>
          <w:lang w:val="fr-CA"/>
        </w:rPr>
        <w:t>Mersereau</w:t>
      </w:r>
      <w:proofErr w:type="spellEnd"/>
      <w:r w:rsidRPr="00FC0AE3">
        <w:rPr>
          <w:lang w:val="fr-CA"/>
        </w:rPr>
        <w:t>, Marie-Claude Brouillette, Marie-Andrée Caron et Réal Jacques, Éditions du Renouveau Pédagogique inc.</w:t>
      </w:r>
      <w:r>
        <w:rPr>
          <w:lang w:val="fr-CA"/>
        </w:rPr>
        <w:t>, 2011.</w:t>
      </w:r>
      <w:r w:rsidRPr="00FC0AE3">
        <w:rPr>
          <w:lang w:val="fr-CA"/>
        </w:rPr>
        <w:t xml:space="preserve"> ISBN 9782761340045</w:t>
      </w:r>
    </w:p>
    <w:p w14:paraId="5069704C" w14:textId="77777777" w:rsidR="002D1BF5" w:rsidRPr="00FC0AE3" w:rsidRDefault="002D1BF5" w:rsidP="00FC0AE3">
      <w:pPr>
        <w:pStyle w:val="bodyindent2"/>
        <w:rPr>
          <w:sz w:val="23"/>
          <w:szCs w:val="23"/>
          <w:lang w:val="fr-CA"/>
        </w:rPr>
      </w:pPr>
      <w:r w:rsidRPr="00FC0AE3">
        <w:rPr>
          <w:i/>
          <w:iCs/>
          <w:lang w:val="fr-CA"/>
        </w:rPr>
        <w:t>Le gestionnaire et les états financiers – normes IFRS</w:t>
      </w:r>
      <w:r w:rsidRPr="00FC0AE3">
        <w:rPr>
          <w:lang w:val="fr-CA"/>
        </w:rPr>
        <w:t>. Louise Martel, Claude Laroche et Johanne Turbide, Éditions du Renouveau Pédagogique inc.</w:t>
      </w:r>
      <w:r>
        <w:rPr>
          <w:lang w:val="fr-CA"/>
        </w:rPr>
        <w:t>, 2009.</w:t>
      </w:r>
      <w:r w:rsidRPr="00FC0AE3">
        <w:rPr>
          <w:lang w:val="fr-CA"/>
        </w:rPr>
        <w:t xml:space="preserve"> ISBN 9782761332453</w:t>
      </w:r>
    </w:p>
    <w:p w14:paraId="7805EEDE" w14:textId="77777777" w:rsidR="002D1BF5" w:rsidRPr="00FC0AE3" w:rsidRDefault="002D1BF5" w:rsidP="00B34DA3">
      <w:pPr>
        <w:pStyle w:val="bodyindent2"/>
        <w:rPr>
          <w:lang w:val="fr-CA"/>
        </w:rPr>
      </w:pPr>
      <w:r w:rsidRPr="00DF3A88">
        <w:rPr>
          <w:i/>
          <w:iCs/>
        </w:rPr>
        <w:t>Financial Accounting: Tools for business Decision-Making, 4</w:t>
      </w:r>
      <w:r w:rsidRPr="00DF3A88">
        <w:rPr>
          <w:i/>
          <w:iCs/>
          <w:vertAlign w:val="superscript"/>
        </w:rPr>
        <w:t>th</w:t>
      </w:r>
      <w:r w:rsidRPr="00DF3A88">
        <w:rPr>
          <w:i/>
          <w:iCs/>
        </w:rPr>
        <w:t xml:space="preserve"> Canadian Edition</w:t>
      </w:r>
      <w:r w:rsidRPr="00DF3A88">
        <w:t xml:space="preserve"> (solutions </w:t>
      </w:r>
      <w:proofErr w:type="spellStart"/>
      <w:r w:rsidRPr="00DF3A88">
        <w:t>proposées</w:t>
      </w:r>
      <w:proofErr w:type="spellEnd"/>
      <w:r w:rsidRPr="00DF3A88">
        <w:t xml:space="preserve">). Paul D. Kimmel, Jerry J. </w:t>
      </w:r>
      <w:proofErr w:type="spellStart"/>
      <w:r w:rsidRPr="00DF3A88">
        <w:t>Wegandt</w:t>
      </w:r>
      <w:proofErr w:type="spellEnd"/>
      <w:r w:rsidRPr="00DF3A88">
        <w:t xml:space="preserve">, Donald E. </w:t>
      </w:r>
      <w:proofErr w:type="spellStart"/>
      <w:r w:rsidRPr="00DF3A88">
        <w:t>Kieso</w:t>
      </w:r>
      <w:proofErr w:type="spellEnd"/>
      <w:r w:rsidRPr="00DF3A88">
        <w:t xml:space="preserve"> et Barbara Trenholm, John Wiley &amp; Sons, 2009. </w:t>
      </w:r>
      <w:r w:rsidRPr="00FC0AE3">
        <w:rPr>
          <w:lang w:val="fr-CA"/>
        </w:rPr>
        <w:t>ISBN 978-0-470-15535-6</w:t>
      </w:r>
    </w:p>
    <w:p w14:paraId="16A9C3FF" w14:textId="77777777" w:rsidR="002D1BF5" w:rsidRPr="00FC0AE3" w:rsidRDefault="002D1BF5" w:rsidP="00B34DA3">
      <w:pPr>
        <w:pStyle w:val="bodyindent2"/>
        <w:rPr>
          <w:sz w:val="23"/>
          <w:szCs w:val="23"/>
          <w:lang w:val="fr-CA"/>
        </w:rPr>
      </w:pPr>
      <w:r w:rsidRPr="006E15BD">
        <w:rPr>
          <w:i/>
          <w:iCs/>
        </w:rPr>
        <w:t>Managerial Accounting, 1</w:t>
      </w:r>
      <w:r w:rsidRPr="006E15BD">
        <w:rPr>
          <w:i/>
          <w:iCs/>
          <w:vertAlign w:val="superscript"/>
        </w:rPr>
        <w:t>st</w:t>
      </w:r>
      <w:r w:rsidRPr="006E15BD">
        <w:rPr>
          <w:i/>
          <w:iCs/>
        </w:rPr>
        <w:t xml:space="preserve"> Canadian Edition</w:t>
      </w:r>
      <w:r w:rsidRPr="006E15BD">
        <w:t xml:space="preserve">. </w:t>
      </w:r>
      <w:r w:rsidRPr="00FC34BD">
        <w:rPr>
          <w:lang w:val="en-CA"/>
        </w:rPr>
        <w:t xml:space="preserve">Ramji Balakrishnan, </w:t>
      </w:r>
      <w:proofErr w:type="spellStart"/>
      <w:r w:rsidRPr="00FC34BD">
        <w:rPr>
          <w:lang w:val="en-CA"/>
        </w:rPr>
        <w:t>Konduru</w:t>
      </w:r>
      <w:proofErr w:type="spellEnd"/>
      <w:r w:rsidRPr="00FC34BD">
        <w:rPr>
          <w:lang w:val="en-CA"/>
        </w:rPr>
        <w:t> </w:t>
      </w:r>
      <w:proofErr w:type="spellStart"/>
      <w:r w:rsidRPr="00FC34BD">
        <w:rPr>
          <w:lang w:val="en-CA"/>
        </w:rPr>
        <w:t>Sivaramakrishnan</w:t>
      </w:r>
      <w:proofErr w:type="spellEnd"/>
      <w:r w:rsidRPr="00FC34BD">
        <w:rPr>
          <w:lang w:val="en-CA"/>
        </w:rPr>
        <w:t>, Geoff Sprinkle, Lynn Carty et Maria Ferraro, John </w:t>
      </w:r>
      <w:r>
        <w:rPr>
          <w:lang w:val="en-CA"/>
        </w:rPr>
        <w:t>Wiley </w:t>
      </w:r>
      <w:r w:rsidRPr="00FC34BD">
        <w:rPr>
          <w:lang w:val="en-CA"/>
        </w:rPr>
        <w:t>&amp; Sons</w:t>
      </w:r>
      <w:r>
        <w:rPr>
          <w:lang w:val="en-CA"/>
        </w:rPr>
        <w:t>, 2011</w:t>
      </w:r>
      <w:r w:rsidRPr="00FC34BD">
        <w:rPr>
          <w:lang w:val="en-CA"/>
        </w:rPr>
        <w:t xml:space="preserve">. </w:t>
      </w:r>
      <w:r w:rsidRPr="00FC0AE3">
        <w:rPr>
          <w:lang w:val="fr-CA"/>
        </w:rPr>
        <w:t xml:space="preserve">ISBN </w:t>
      </w:r>
      <w:r w:rsidRPr="00FC0AE3">
        <w:rPr>
          <w:sz w:val="23"/>
          <w:szCs w:val="23"/>
          <w:lang w:val="fr-CA"/>
        </w:rPr>
        <w:t>978-0-470-67786-5</w:t>
      </w:r>
    </w:p>
    <w:p w14:paraId="09D0BF2B" w14:textId="77777777" w:rsidR="002D1BF5" w:rsidRPr="00FC0AE3" w:rsidRDefault="002D1BF5" w:rsidP="00206194">
      <w:pPr>
        <w:pStyle w:val="BodyIndent"/>
        <w:rPr>
          <w:lang w:val="fr-CA"/>
        </w:rPr>
      </w:pPr>
      <w:r w:rsidRPr="00FC0AE3">
        <w:rPr>
          <w:lang w:val="fr-CA"/>
        </w:rPr>
        <w:t>Principes de droit commercial présentés dans les ouvrages suivants :</w:t>
      </w:r>
    </w:p>
    <w:p w14:paraId="28428A92" w14:textId="77777777" w:rsidR="002D1BF5" w:rsidRPr="00FC0AE3" w:rsidRDefault="002D1BF5" w:rsidP="00FC0AE3">
      <w:pPr>
        <w:pStyle w:val="bodyindent2"/>
        <w:rPr>
          <w:lang w:val="fr-CA"/>
        </w:rPr>
      </w:pPr>
      <w:r w:rsidRPr="00FC0AE3">
        <w:rPr>
          <w:i/>
          <w:iCs/>
          <w:lang w:val="fr-CA"/>
        </w:rPr>
        <w:t>Entreprises, sociétés et compagnies – Collection de droit 2011 – 2012, volume 9</w:t>
      </w:r>
      <w:r w:rsidRPr="00FC0AE3">
        <w:rPr>
          <w:lang w:val="fr-CA"/>
        </w:rPr>
        <w:t>. Yvon Blais, Thomson Reuters</w:t>
      </w:r>
      <w:r>
        <w:rPr>
          <w:lang w:val="fr-CA"/>
        </w:rPr>
        <w:t>, 2011</w:t>
      </w:r>
      <w:r w:rsidRPr="00FC0AE3">
        <w:rPr>
          <w:lang w:val="fr-CA"/>
        </w:rPr>
        <w:t xml:space="preserve">. ISBN 978-2-89635-587-7 </w:t>
      </w:r>
    </w:p>
    <w:p w14:paraId="1BCAD47D" w14:textId="77777777" w:rsidR="002D1BF5" w:rsidRPr="00FC0AE3" w:rsidRDefault="002D1BF5" w:rsidP="00B34DA3">
      <w:pPr>
        <w:pStyle w:val="bodyindent2"/>
        <w:rPr>
          <w:lang w:val="fr-CA"/>
        </w:rPr>
      </w:pPr>
      <w:r w:rsidRPr="00DF3A88">
        <w:rPr>
          <w:i/>
          <w:iCs/>
        </w:rPr>
        <w:t>The Law and Business Administration in Canada</w:t>
      </w:r>
      <w:r w:rsidRPr="00DF3A88">
        <w:t xml:space="preserve">. J. E. Smyth, D. A. </w:t>
      </w:r>
      <w:proofErr w:type="spellStart"/>
      <w:r w:rsidRPr="00DF3A88">
        <w:t>Soberman</w:t>
      </w:r>
      <w:proofErr w:type="spellEnd"/>
      <w:r w:rsidRPr="00DF3A88">
        <w:t>, A. J. </w:t>
      </w:r>
      <w:proofErr w:type="spellStart"/>
      <w:r w:rsidRPr="00DF3A88">
        <w:t>Easson</w:t>
      </w:r>
      <w:proofErr w:type="spellEnd"/>
      <w:r w:rsidRPr="00DF3A88">
        <w:t xml:space="preserve"> et Shelley Ann McGill, Pearson Education Canada, 2010. </w:t>
      </w:r>
      <w:r w:rsidRPr="00FC0AE3">
        <w:rPr>
          <w:lang w:val="fr-CA"/>
        </w:rPr>
        <w:t>ISBN 978-0-13-610903-7</w:t>
      </w:r>
    </w:p>
    <w:p w14:paraId="4F4683E5" w14:textId="77777777" w:rsidR="002D1BF5" w:rsidRPr="00FC0AE3" w:rsidRDefault="002D1BF5" w:rsidP="00206194">
      <w:pPr>
        <w:pStyle w:val="BodyIndent"/>
        <w:rPr>
          <w:lang w:val="fr-CA"/>
        </w:rPr>
      </w:pPr>
      <w:r w:rsidRPr="00FC0AE3">
        <w:rPr>
          <w:lang w:val="fr-CA"/>
        </w:rPr>
        <w:t>Principes de gestion des ressources humaines présentés dans les ouvrages suivants :</w:t>
      </w:r>
    </w:p>
    <w:p w14:paraId="5F3EC2C7" w14:textId="77777777" w:rsidR="002D1BF5" w:rsidRPr="00FC0AE3" w:rsidRDefault="002D1BF5" w:rsidP="00FC0AE3">
      <w:pPr>
        <w:pStyle w:val="bodyindent2"/>
        <w:rPr>
          <w:lang w:val="fr-CA"/>
        </w:rPr>
      </w:pPr>
      <w:r w:rsidRPr="00FC0AE3">
        <w:rPr>
          <w:i/>
          <w:iCs/>
          <w:lang w:val="fr-CA"/>
        </w:rPr>
        <w:t>La gestion des ressources humaines – Tendances, enjeux et pratiques actuelles</w:t>
      </w:r>
      <w:r w:rsidRPr="00FC0AE3">
        <w:rPr>
          <w:lang w:val="fr-CA"/>
        </w:rPr>
        <w:t xml:space="preserve"> (4</w:t>
      </w:r>
      <w:r w:rsidRPr="00FC0AE3">
        <w:rPr>
          <w:vertAlign w:val="superscript"/>
          <w:lang w:val="fr-CA"/>
        </w:rPr>
        <w:t>e</w:t>
      </w:r>
      <w:r w:rsidRPr="00FC0AE3">
        <w:rPr>
          <w:lang w:val="fr-CA"/>
        </w:rPr>
        <w:t> édition). Shimon L. Dolan, Tania Saba, Susan E. Jackson et Randall S. Schuler, Éditions du Renouveau Pédagogique inc.</w:t>
      </w:r>
      <w:r>
        <w:rPr>
          <w:lang w:val="fr-CA"/>
        </w:rPr>
        <w:t>, 2008.</w:t>
      </w:r>
      <w:r w:rsidRPr="00FC0AE3">
        <w:rPr>
          <w:lang w:val="fr-CA"/>
        </w:rPr>
        <w:t xml:space="preserve"> ISBN 978-2-7613-2192-1</w:t>
      </w:r>
    </w:p>
    <w:p w14:paraId="05C33D4A" w14:textId="039B1E07" w:rsidR="002D1BF5" w:rsidRDefault="002D1BF5" w:rsidP="00CF5C3C">
      <w:pPr>
        <w:pStyle w:val="bodyindent2"/>
        <w:rPr>
          <w:lang w:val="fr-CA"/>
        </w:rPr>
      </w:pPr>
      <w:r w:rsidRPr="00CF5C3C">
        <w:rPr>
          <w:i/>
          <w:iCs/>
        </w:rPr>
        <w:t>Fundamentals of Human Resource Management, Canadian Edition</w:t>
      </w:r>
      <w:r w:rsidRPr="00DF3A88">
        <w:t xml:space="preserve">. Raymond A. Noe, John R. Hollenbeck, Barry Gerhart, Patrick M. Wright et Sandra Steen, McGraw Hill, 2006. </w:t>
      </w:r>
      <w:r w:rsidRPr="00CF5C3C">
        <w:rPr>
          <w:lang w:val="fr-CA"/>
        </w:rPr>
        <w:t>ISBN 0070907994</w:t>
      </w:r>
    </w:p>
    <w:p w14:paraId="70DBAF62" w14:textId="418663A4" w:rsidR="00030B56" w:rsidRDefault="00030B56" w:rsidP="00030B56">
      <w:pPr>
        <w:pStyle w:val="Appendixtopic"/>
        <w:spacing w:before="360" w:after="240"/>
        <w:rPr>
          <w:lang w:val="fr-CA"/>
        </w:rPr>
      </w:pPr>
      <w:r>
        <w:rPr>
          <w:lang w:val="fr-CA"/>
        </w:rPr>
        <w:t>Autres ressources</w:t>
      </w:r>
    </w:p>
    <w:p w14:paraId="5BA965FD" w14:textId="07F9575D" w:rsidR="00030B56" w:rsidRPr="00030B56" w:rsidRDefault="00030B56" w:rsidP="00030B56">
      <w:pPr>
        <w:pStyle w:val="bodyindent2"/>
        <w:rPr>
          <w:i/>
          <w:iCs/>
        </w:rPr>
      </w:pPr>
      <w:hyperlink r:id="rId27" w:history="1">
        <w:r w:rsidRPr="00030B56">
          <w:rPr>
            <w:rStyle w:val="Hyperlink"/>
            <w:rFonts w:cs="Arial"/>
          </w:rPr>
          <w:t>Insolvency Insider</w:t>
        </w:r>
      </w:hyperlink>
      <w:r w:rsidRPr="00030B56">
        <w:rPr>
          <w:i/>
          <w:iCs/>
        </w:rPr>
        <w:t xml:space="preserve"> </w:t>
      </w:r>
      <w:r>
        <w:rPr>
          <w:i/>
          <w:iCs/>
        </w:rPr>
        <w:t xml:space="preserve"> </w:t>
      </w:r>
      <w:r w:rsidRPr="00030B56">
        <w:t xml:space="preserve">Couverture des </w:t>
      </w:r>
      <w:proofErr w:type="spellStart"/>
      <w:r w:rsidRPr="00030B56">
        <w:t>derniers</w:t>
      </w:r>
      <w:proofErr w:type="spellEnd"/>
      <w:r w:rsidRPr="00030B56">
        <w:t xml:space="preserve"> dossiers </w:t>
      </w:r>
      <w:proofErr w:type="spellStart"/>
      <w:r w:rsidRPr="00030B56">
        <w:t>d'insolvabilité</w:t>
      </w:r>
      <w:proofErr w:type="spellEnd"/>
      <w:r w:rsidRPr="00030B56">
        <w:t xml:space="preserve"> </w:t>
      </w:r>
      <w:proofErr w:type="spellStart"/>
      <w:r w:rsidRPr="00030B56">
        <w:t>canadiens</w:t>
      </w:r>
      <w:proofErr w:type="spellEnd"/>
      <w:r w:rsidRPr="00030B56">
        <w:t xml:space="preserve">, des affaires </w:t>
      </w:r>
      <w:proofErr w:type="spellStart"/>
      <w:r w:rsidRPr="00030B56">
        <w:t>judiciaires</w:t>
      </w:r>
      <w:proofErr w:type="spellEnd"/>
      <w:r w:rsidRPr="00030B56">
        <w:t xml:space="preserve"> et des </w:t>
      </w:r>
      <w:proofErr w:type="spellStart"/>
      <w:r w:rsidRPr="00030B56">
        <w:t>nouvelles</w:t>
      </w:r>
      <w:proofErr w:type="spellEnd"/>
      <w:r w:rsidRPr="00030B56">
        <w:rPr>
          <w:i/>
          <w:iCs/>
        </w:rPr>
        <w:t xml:space="preserve"> (</w:t>
      </w:r>
      <w:r w:rsidRPr="00030B56">
        <w:rPr>
          <w:i/>
          <w:iCs/>
        </w:rPr>
        <w:t xml:space="preserve">disponible </w:t>
      </w:r>
      <w:proofErr w:type="spellStart"/>
      <w:r w:rsidRPr="00030B56">
        <w:rPr>
          <w:i/>
          <w:iCs/>
        </w:rPr>
        <w:t>uniquement</w:t>
      </w:r>
      <w:proofErr w:type="spellEnd"/>
      <w:r w:rsidRPr="00030B56">
        <w:rPr>
          <w:i/>
          <w:iCs/>
        </w:rPr>
        <w:t xml:space="preserve"> </w:t>
      </w:r>
      <w:proofErr w:type="spellStart"/>
      <w:r w:rsidRPr="00030B56">
        <w:rPr>
          <w:i/>
          <w:iCs/>
        </w:rPr>
        <w:t>en</w:t>
      </w:r>
      <w:proofErr w:type="spellEnd"/>
      <w:r w:rsidRPr="00030B56">
        <w:rPr>
          <w:i/>
          <w:iCs/>
        </w:rPr>
        <w:t xml:space="preserve"> </w:t>
      </w:r>
      <w:proofErr w:type="spellStart"/>
      <w:r>
        <w:rPr>
          <w:i/>
          <w:iCs/>
        </w:rPr>
        <w:t>anglais</w:t>
      </w:r>
      <w:proofErr w:type="spellEnd"/>
      <w:r>
        <w:rPr>
          <w:i/>
          <w:iCs/>
        </w:rPr>
        <w:t>)</w:t>
      </w:r>
    </w:p>
    <w:sectPr w:rsidR="00030B56" w:rsidRPr="00030B56" w:rsidSect="008D2FAD">
      <w:headerReference w:type="default" r:id="rId28"/>
      <w:footerReference w:type="default" r:id="rId29"/>
      <w:pgSz w:w="12240" w:h="15840"/>
      <w:pgMar w:top="1152" w:right="144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8596" w14:textId="77777777" w:rsidR="002D1BF5" w:rsidRDefault="002D1BF5" w:rsidP="00E05427">
      <w:pPr>
        <w:spacing w:after="0" w:line="240" w:lineRule="auto"/>
      </w:pPr>
      <w:r>
        <w:separator/>
      </w:r>
    </w:p>
  </w:endnote>
  <w:endnote w:type="continuationSeparator" w:id="0">
    <w:p w14:paraId="50DCC5F6" w14:textId="77777777" w:rsidR="002D1BF5" w:rsidRDefault="002D1BF5" w:rsidP="00E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270B" w14:textId="77777777" w:rsidR="002D1BF5" w:rsidRDefault="00DF3A88" w:rsidP="00FE28A1">
    <w:pPr>
      <w:pStyle w:val="Footer"/>
      <w:jc w:val="right"/>
    </w:pPr>
    <w:r>
      <w:rPr>
        <w:noProof/>
        <w:lang w:val="en-CA" w:eastAsia="en-CA"/>
      </w:rPr>
      <w:drawing>
        <wp:inline distT="0" distB="0" distL="0" distR="0" wp14:anchorId="3605A420" wp14:editId="11761E0B">
          <wp:extent cx="5715000" cy="403860"/>
          <wp:effectExtent l="19050" t="0" r="0" b="0"/>
          <wp:docPr id="3" name="Picture 7" descr="CAIRP+Bar&amp;Stripes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IRP+Bar&amp;StripesFrench"/>
                  <pic:cNvPicPr>
                    <a:picLocks noChangeAspect="1" noChangeArrowheads="1"/>
                  </pic:cNvPicPr>
                </pic:nvPicPr>
                <pic:blipFill>
                  <a:blip r:embed="rId1"/>
                  <a:srcRect/>
                  <a:stretch>
                    <a:fillRect/>
                  </a:stretch>
                </pic:blipFill>
                <pic:spPr bwMode="auto">
                  <a:xfrm>
                    <a:off x="0" y="0"/>
                    <a:ext cx="5715000" cy="4038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58EB" w14:textId="77777777" w:rsidR="002D1BF5" w:rsidRDefault="002D1BF5" w:rsidP="00E05427">
      <w:pPr>
        <w:spacing w:after="0" w:line="240" w:lineRule="auto"/>
      </w:pPr>
      <w:r>
        <w:separator/>
      </w:r>
    </w:p>
  </w:footnote>
  <w:footnote w:type="continuationSeparator" w:id="0">
    <w:p w14:paraId="7391FC92" w14:textId="77777777" w:rsidR="002D1BF5" w:rsidRDefault="002D1BF5" w:rsidP="00E0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B1E9" w14:textId="77777777" w:rsidR="002D1BF5" w:rsidRDefault="00DF3A88" w:rsidP="008D2FAD">
    <w:pPr>
      <w:pStyle w:val="Header"/>
      <w:ind w:hanging="180"/>
    </w:pPr>
    <w:r>
      <w:rPr>
        <w:noProof/>
        <w:lang w:val="en-CA" w:eastAsia="en-CA"/>
      </w:rPr>
      <w:drawing>
        <wp:inline distT="0" distB="0" distL="0" distR="0" wp14:anchorId="3B1564CC" wp14:editId="3EC8BCF4">
          <wp:extent cx="2804160" cy="708660"/>
          <wp:effectExtent l="19050" t="0" r="0" b="0"/>
          <wp:docPr id="2" name="Picture 5" descr="French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Logo+Tag"/>
                  <pic:cNvPicPr>
                    <a:picLocks noChangeAspect="1" noChangeArrowheads="1"/>
                  </pic:cNvPicPr>
                </pic:nvPicPr>
                <pic:blipFill>
                  <a:blip r:embed="rId1"/>
                  <a:srcRect/>
                  <a:stretch>
                    <a:fillRect/>
                  </a:stretch>
                </pic:blipFill>
                <pic:spPr bwMode="auto">
                  <a:xfrm>
                    <a:off x="0" y="0"/>
                    <a:ext cx="2804160" cy="708660"/>
                  </a:xfrm>
                  <a:prstGeom prst="rect">
                    <a:avLst/>
                  </a:prstGeom>
                  <a:noFill/>
                  <a:ln w="9525">
                    <a:noFill/>
                    <a:miter lim="800000"/>
                    <a:headEnd/>
                    <a:tailEnd/>
                  </a:ln>
                </pic:spPr>
              </pic:pic>
            </a:graphicData>
          </a:graphic>
        </wp:inline>
      </w:drawing>
    </w:r>
  </w:p>
  <w:p w14:paraId="48080964" w14:textId="77777777" w:rsidR="002D1BF5" w:rsidRDefault="002D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D15"/>
    <w:multiLevelType w:val="hybridMultilevel"/>
    <w:tmpl w:val="CCFA2D58"/>
    <w:lvl w:ilvl="0" w:tplc="F7EA7FF0">
      <w:start w:val="1"/>
      <w:numFmt w:val="lowerLetter"/>
      <w:lvlText w:val="(%1)"/>
      <w:lvlJc w:val="left"/>
      <w:pPr>
        <w:ind w:left="720" w:hanging="360"/>
      </w:pPr>
      <w:rPr>
        <w:rFonts w:hint="default"/>
      </w:rPr>
    </w:lvl>
    <w:lvl w:ilvl="1" w:tplc="10090019">
      <w:start w:val="1"/>
      <w:numFmt w:val="lowerLetter"/>
      <w:lvlText w:val="%2."/>
      <w:lvlJc w:val="left"/>
      <w:pPr>
        <w:ind w:left="810" w:hanging="360"/>
      </w:pPr>
    </w:lvl>
    <w:lvl w:ilvl="2" w:tplc="1009001B">
      <w:start w:val="1"/>
      <w:numFmt w:val="lowerRoman"/>
      <w:lvlText w:val="%3."/>
      <w:lvlJc w:val="right"/>
      <w:pPr>
        <w:ind w:left="1530" w:hanging="180"/>
      </w:pPr>
    </w:lvl>
    <w:lvl w:ilvl="3" w:tplc="1009000F">
      <w:start w:val="1"/>
      <w:numFmt w:val="decimal"/>
      <w:lvlText w:val="%4."/>
      <w:lvlJc w:val="left"/>
      <w:pPr>
        <w:ind w:left="2250" w:hanging="360"/>
      </w:pPr>
    </w:lvl>
    <w:lvl w:ilvl="4" w:tplc="10090019">
      <w:start w:val="1"/>
      <w:numFmt w:val="lowerLetter"/>
      <w:lvlText w:val="%5."/>
      <w:lvlJc w:val="left"/>
      <w:pPr>
        <w:ind w:left="2970" w:hanging="360"/>
      </w:pPr>
    </w:lvl>
    <w:lvl w:ilvl="5" w:tplc="1009001B">
      <w:start w:val="1"/>
      <w:numFmt w:val="lowerRoman"/>
      <w:lvlText w:val="%6."/>
      <w:lvlJc w:val="right"/>
      <w:pPr>
        <w:ind w:left="3690" w:hanging="180"/>
      </w:pPr>
    </w:lvl>
    <w:lvl w:ilvl="6" w:tplc="1009000F">
      <w:start w:val="1"/>
      <w:numFmt w:val="decimal"/>
      <w:lvlText w:val="%7."/>
      <w:lvlJc w:val="left"/>
      <w:pPr>
        <w:ind w:left="4410" w:hanging="360"/>
      </w:pPr>
    </w:lvl>
    <w:lvl w:ilvl="7" w:tplc="10090019">
      <w:start w:val="1"/>
      <w:numFmt w:val="lowerLetter"/>
      <w:lvlText w:val="%8."/>
      <w:lvlJc w:val="left"/>
      <w:pPr>
        <w:ind w:left="5130" w:hanging="360"/>
      </w:pPr>
    </w:lvl>
    <w:lvl w:ilvl="8" w:tplc="1009001B">
      <w:start w:val="1"/>
      <w:numFmt w:val="lowerRoman"/>
      <w:lvlText w:val="%9."/>
      <w:lvlJc w:val="right"/>
      <w:pPr>
        <w:ind w:left="5850" w:hanging="180"/>
      </w:pPr>
    </w:lvl>
  </w:abstractNum>
  <w:abstractNum w:abstractNumId="1" w15:restartNumberingAfterBreak="0">
    <w:nsid w:val="036B3C2A"/>
    <w:multiLevelType w:val="hybridMultilevel"/>
    <w:tmpl w:val="7D4087EA"/>
    <w:lvl w:ilvl="0" w:tplc="C07A9D76">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CBA6B92"/>
    <w:multiLevelType w:val="hybridMultilevel"/>
    <w:tmpl w:val="08C6E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4451DD"/>
    <w:multiLevelType w:val="hybridMultilevel"/>
    <w:tmpl w:val="D2F49A34"/>
    <w:lvl w:ilvl="0" w:tplc="3E5814BE">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4" w15:restartNumberingAfterBreak="0">
    <w:nsid w:val="178164BE"/>
    <w:multiLevelType w:val="hybridMultilevel"/>
    <w:tmpl w:val="1FA07D84"/>
    <w:lvl w:ilvl="0" w:tplc="CF9E6F10">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053ABB"/>
    <w:multiLevelType w:val="multilevel"/>
    <w:tmpl w:val="C8C85D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50F7A"/>
    <w:multiLevelType w:val="hybridMultilevel"/>
    <w:tmpl w:val="564C091A"/>
    <w:lvl w:ilvl="0" w:tplc="5D0CF9DE">
      <w:start w:val="1"/>
      <w:numFmt w:val="decimal"/>
      <w:pStyle w:val="BodyIndent1"/>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7" w15:restartNumberingAfterBreak="0">
    <w:nsid w:val="21F144D1"/>
    <w:multiLevelType w:val="hybridMultilevel"/>
    <w:tmpl w:val="736C95A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28C127AC"/>
    <w:multiLevelType w:val="hybridMultilevel"/>
    <w:tmpl w:val="43268D4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2CA866EF"/>
    <w:multiLevelType w:val="hybridMultilevel"/>
    <w:tmpl w:val="554E07BC"/>
    <w:lvl w:ilvl="0" w:tplc="10090001">
      <w:start w:val="1"/>
      <w:numFmt w:val="bullet"/>
      <w:lvlText w:val=""/>
      <w:lvlJc w:val="left"/>
      <w:pPr>
        <w:ind w:left="774" w:hanging="360"/>
      </w:pPr>
      <w:rPr>
        <w:rFonts w:ascii="Symbol" w:hAnsi="Symbol" w:cs="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cs="Wingdings" w:hint="default"/>
      </w:rPr>
    </w:lvl>
    <w:lvl w:ilvl="3" w:tplc="10090001">
      <w:start w:val="1"/>
      <w:numFmt w:val="bullet"/>
      <w:lvlText w:val=""/>
      <w:lvlJc w:val="left"/>
      <w:pPr>
        <w:ind w:left="2934" w:hanging="360"/>
      </w:pPr>
      <w:rPr>
        <w:rFonts w:ascii="Symbol" w:hAnsi="Symbol" w:cs="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cs="Wingdings" w:hint="default"/>
      </w:rPr>
    </w:lvl>
    <w:lvl w:ilvl="6" w:tplc="10090001">
      <w:start w:val="1"/>
      <w:numFmt w:val="bullet"/>
      <w:lvlText w:val=""/>
      <w:lvlJc w:val="left"/>
      <w:pPr>
        <w:ind w:left="5094" w:hanging="360"/>
      </w:pPr>
      <w:rPr>
        <w:rFonts w:ascii="Symbol" w:hAnsi="Symbol" w:cs="Symbol" w:hint="default"/>
      </w:rPr>
    </w:lvl>
    <w:lvl w:ilvl="7" w:tplc="10090003">
      <w:start w:val="1"/>
      <w:numFmt w:val="bullet"/>
      <w:lvlText w:val="o"/>
      <w:lvlJc w:val="left"/>
      <w:pPr>
        <w:ind w:left="5814" w:hanging="360"/>
      </w:pPr>
      <w:rPr>
        <w:rFonts w:ascii="Courier New" w:hAnsi="Courier New" w:cs="Courier New" w:hint="default"/>
      </w:rPr>
    </w:lvl>
    <w:lvl w:ilvl="8" w:tplc="10090005">
      <w:start w:val="1"/>
      <w:numFmt w:val="bullet"/>
      <w:lvlText w:val=""/>
      <w:lvlJc w:val="left"/>
      <w:pPr>
        <w:ind w:left="6534" w:hanging="360"/>
      </w:pPr>
      <w:rPr>
        <w:rFonts w:ascii="Wingdings" w:hAnsi="Wingdings" w:cs="Wingdings" w:hint="default"/>
      </w:rPr>
    </w:lvl>
  </w:abstractNum>
  <w:abstractNum w:abstractNumId="10" w15:restartNumberingAfterBreak="0">
    <w:nsid w:val="3DA05695"/>
    <w:multiLevelType w:val="hybridMultilevel"/>
    <w:tmpl w:val="BFB07A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9003876"/>
    <w:multiLevelType w:val="hybridMultilevel"/>
    <w:tmpl w:val="ACBC3F32"/>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509949E8"/>
    <w:multiLevelType w:val="hybridMultilevel"/>
    <w:tmpl w:val="4D5C1124"/>
    <w:lvl w:ilvl="0" w:tplc="1009000D">
      <w:start w:val="1"/>
      <w:numFmt w:val="bullet"/>
      <w:lvlText w:val=""/>
      <w:lvlJc w:val="left"/>
      <w:pPr>
        <w:ind w:left="360" w:hanging="360"/>
      </w:pPr>
      <w:rPr>
        <w:rFonts w:ascii="Wingdings" w:hAnsi="Wingdings" w:cs="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13" w15:restartNumberingAfterBreak="0">
    <w:nsid w:val="5697153A"/>
    <w:multiLevelType w:val="hybridMultilevel"/>
    <w:tmpl w:val="0FC2FFA2"/>
    <w:lvl w:ilvl="0" w:tplc="852ED0BA">
      <w:start w:val="1"/>
      <w:numFmt w:val="bullet"/>
      <w:pStyle w:val="BodyInden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14" w15:restartNumberingAfterBreak="0">
    <w:nsid w:val="58894103"/>
    <w:multiLevelType w:val="hybridMultilevel"/>
    <w:tmpl w:val="4782A366"/>
    <w:lvl w:ilvl="0" w:tplc="174AB42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15:restartNumberingAfterBreak="0">
    <w:nsid w:val="690E172B"/>
    <w:multiLevelType w:val="hybridMultilevel"/>
    <w:tmpl w:val="4928EAD2"/>
    <w:lvl w:ilvl="0" w:tplc="3E3C0BFA">
      <w:start w:val="1"/>
      <w:numFmt w:val="bullet"/>
      <w:pStyle w:val="bodyindent2"/>
      <w:lvlText w:val=""/>
      <w:lvlJc w:val="left"/>
      <w:pPr>
        <w:ind w:left="720" w:hanging="360"/>
      </w:pPr>
      <w:rPr>
        <w:rFonts w:ascii="Symbol" w:hAnsi="Symbol" w:cs="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D396CB3"/>
    <w:multiLevelType w:val="hybridMultilevel"/>
    <w:tmpl w:val="AAC4992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76503CD3"/>
    <w:multiLevelType w:val="hybridMultilevel"/>
    <w:tmpl w:val="9D12324C"/>
    <w:lvl w:ilvl="0" w:tplc="F00EFDFE">
      <w:start w:val="1"/>
      <w:numFmt w:val="bullet"/>
      <w:pStyle w:val="bodyindent6"/>
      <w:lvlText w:val=""/>
      <w:lvlJc w:val="left"/>
      <w:pPr>
        <w:ind w:left="720" w:hanging="360"/>
      </w:pPr>
      <w:rPr>
        <w:rFonts w:ascii="Symbol" w:hAnsi="Symbol" w:cs="Symbol" w:hint="default"/>
      </w:rPr>
    </w:lvl>
    <w:lvl w:ilvl="1" w:tplc="72523A7A">
      <w:start w:val="1"/>
      <w:numFmt w:val="bullet"/>
      <w:pStyle w:val="bodyindent3"/>
      <w:lvlText w:val=""/>
      <w:lvlJc w:val="left"/>
      <w:pPr>
        <w:ind w:left="1350" w:hanging="360"/>
      </w:pPr>
      <w:rPr>
        <w:rFonts w:ascii="Symbol" w:hAnsi="Symbol" w:cs="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15"/>
  </w:num>
  <w:num w:numId="4">
    <w:abstractNumId w:val="17"/>
  </w:num>
  <w:num w:numId="5">
    <w:abstractNumId w:val="13"/>
  </w:num>
  <w:num w:numId="6">
    <w:abstractNumId w:val="6"/>
  </w:num>
  <w:num w:numId="7">
    <w:abstractNumId w:val="3"/>
  </w:num>
  <w:num w:numId="8">
    <w:abstractNumId w:val="5"/>
  </w:num>
  <w:num w:numId="9">
    <w:abstractNumId w:val="5"/>
  </w:num>
  <w:num w:numId="10">
    <w:abstractNumId w:val="5"/>
  </w:num>
  <w:num w:numId="11">
    <w:abstractNumId w:val="14"/>
  </w:num>
  <w:num w:numId="12">
    <w:abstractNumId w:val="11"/>
  </w:num>
  <w:num w:numId="13">
    <w:abstractNumId w:val="8"/>
  </w:num>
  <w:num w:numId="14">
    <w:abstractNumId w:val="7"/>
  </w:num>
  <w:num w:numId="15">
    <w:abstractNumId w:val="12"/>
  </w:num>
  <w:num w:numId="16">
    <w:abstractNumId w:val="16"/>
  </w:num>
  <w:num w:numId="17">
    <w:abstractNumId w:val="9"/>
  </w:num>
  <w:num w:numId="18">
    <w:abstractNumId w:val="4"/>
  </w:num>
  <w:num w:numId="19">
    <w:abstractNumId w:val="13"/>
  </w:num>
  <w:num w:numId="20">
    <w:abstractNumId w:val="1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B5"/>
    <w:rsid w:val="00030B56"/>
    <w:rsid w:val="00052218"/>
    <w:rsid w:val="000631F9"/>
    <w:rsid w:val="000635B8"/>
    <w:rsid w:val="00063FE7"/>
    <w:rsid w:val="000660CC"/>
    <w:rsid w:val="00081DCF"/>
    <w:rsid w:val="000D1099"/>
    <w:rsid w:val="000F3441"/>
    <w:rsid w:val="000F586D"/>
    <w:rsid w:val="00101F5C"/>
    <w:rsid w:val="001075D0"/>
    <w:rsid w:val="00116C0B"/>
    <w:rsid w:val="00145351"/>
    <w:rsid w:val="00150EDE"/>
    <w:rsid w:val="00167C9C"/>
    <w:rsid w:val="00170C37"/>
    <w:rsid w:val="00182B23"/>
    <w:rsid w:val="0018598F"/>
    <w:rsid w:val="00187AD4"/>
    <w:rsid w:val="001A7EB3"/>
    <w:rsid w:val="001C157C"/>
    <w:rsid w:val="001E3534"/>
    <w:rsid w:val="00206194"/>
    <w:rsid w:val="0023193E"/>
    <w:rsid w:val="00241AF1"/>
    <w:rsid w:val="0024313A"/>
    <w:rsid w:val="002443A7"/>
    <w:rsid w:val="00266A69"/>
    <w:rsid w:val="00281564"/>
    <w:rsid w:val="0028411A"/>
    <w:rsid w:val="00292F9A"/>
    <w:rsid w:val="00297DAE"/>
    <w:rsid w:val="002A6D47"/>
    <w:rsid w:val="002D1BF5"/>
    <w:rsid w:val="002E6634"/>
    <w:rsid w:val="002F5682"/>
    <w:rsid w:val="00327A4D"/>
    <w:rsid w:val="00362C8A"/>
    <w:rsid w:val="00381C1D"/>
    <w:rsid w:val="003B5726"/>
    <w:rsid w:val="00421144"/>
    <w:rsid w:val="00440BBD"/>
    <w:rsid w:val="00470900"/>
    <w:rsid w:val="00470AA9"/>
    <w:rsid w:val="00475F1B"/>
    <w:rsid w:val="0049615D"/>
    <w:rsid w:val="004A4FE0"/>
    <w:rsid w:val="004B3AC2"/>
    <w:rsid w:val="004B65EB"/>
    <w:rsid w:val="004C6269"/>
    <w:rsid w:val="004D262B"/>
    <w:rsid w:val="004E5557"/>
    <w:rsid w:val="00504F42"/>
    <w:rsid w:val="00510459"/>
    <w:rsid w:val="00523159"/>
    <w:rsid w:val="00530CA7"/>
    <w:rsid w:val="00532F9C"/>
    <w:rsid w:val="005575B9"/>
    <w:rsid w:val="005A07B8"/>
    <w:rsid w:val="005B3644"/>
    <w:rsid w:val="005B7B02"/>
    <w:rsid w:val="005E256F"/>
    <w:rsid w:val="00626740"/>
    <w:rsid w:val="00636091"/>
    <w:rsid w:val="006507CD"/>
    <w:rsid w:val="00663403"/>
    <w:rsid w:val="00665A0C"/>
    <w:rsid w:val="00667806"/>
    <w:rsid w:val="006E15BD"/>
    <w:rsid w:val="00711802"/>
    <w:rsid w:val="00712003"/>
    <w:rsid w:val="00722465"/>
    <w:rsid w:val="00722A15"/>
    <w:rsid w:val="007924B8"/>
    <w:rsid w:val="0079707E"/>
    <w:rsid w:val="007A14FB"/>
    <w:rsid w:val="007A3942"/>
    <w:rsid w:val="007C2B70"/>
    <w:rsid w:val="007D6515"/>
    <w:rsid w:val="007F15C3"/>
    <w:rsid w:val="00806EF4"/>
    <w:rsid w:val="0081597E"/>
    <w:rsid w:val="00832A02"/>
    <w:rsid w:val="008469F7"/>
    <w:rsid w:val="00864B0D"/>
    <w:rsid w:val="00896C36"/>
    <w:rsid w:val="008B54EF"/>
    <w:rsid w:val="008B7998"/>
    <w:rsid w:val="008C5D44"/>
    <w:rsid w:val="008D2FAD"/>
    <w:rsid w:val="008E12EF"/>
    <w:rsid w:val="008E7B88"/>
    <w:rsid w:val="008F198B"/>
    <w:rsid w:val="008F47F4"/>
    <w:rsid w:val="00904032"/>
    <w:rsid w:val="00966305"/>
    <w:rsid w:val="00983995"/>
    <w:rsid w:val="009B5A9D"/>
    <w:rsid w:val="009C7B10"/>
    <w:rsid w:val="009D4622"/>
    <w:rsid w:val="009D69BB"/>
    <w:rsid w:val="00A12C2D"/>
    <w:rsid w:val="00A15CAC"/>
    <w:rsid w:val="00A33325"/>
    <w:rsid w:val="00A5161D"/>
    <w:rsid w:val="00A51948"/>
    <w:rsid w:val="00A73FE2"/>
    <w:rsid w:val="00A76F80"/>
    <w:rsid w:val="00A85327"/>
    <w:rsid w:val="00A85EB2"/>
    <w:rsid w:val="00AD63C2"/>
    <w:rsid w:val="00AF518F"/>
    <w:rsid w:val="00B204BF"/>
    <w:rsid w:val="00B34DA3"/>
    <w:rsid w:val="00B36C64"/>
    <w:rsid w:val="00B41B0A"/>
    <w:rsid w:val="00B42BFB"/>
    <w:rsid w:val="00B5079A"/>
    <w:rsid w:val="00B54267"/>
    <w:rsid w:val="00B62909"/>
    <w:rsid w:val="00B73BF1"/>
    <w:rsid w:val="00B916E4"/>
    <w:rsid w:val="00BF5862"/>
    <w:rsid w:val="00C418B7"/>
    <w:rsid w:val="00C55F62"/>
    <w:rsid w:val="00C61CC7"/>
    <w:rsid w:val="00C6326F"/>
    <w:rsid w:val="00C64C81"/>
    <w:rsid w:val="00C829AE"/>
    <w:rsid w:val="00CA4BE2"/>
    <w:rsid w:val="00CB621C"/>
    <w:rsid w:val="00CC49E0"/>
    <w:rsid w:val="00CD3D4E"/>
    <w:rsid w:val="00CD7DB7"/>
    <w:rsid w:val="00CF5C3C"/>
    <w:rsid w:val="00CF7CE4"/>
    <w:rsid w:val="00D16F41"/>
    <w:rsid w:val="00D21C86"/>
    <w:rsid w:val="00D56998"/>
    <w:rsid w:val="00D56C62"/>
    <w:rsid w:val="00D56CA1"/>
    <w:rsid w:val="00D82B6E"/>
    <w:rsid w:val="00D84C72"/>
    <w:rsid w:val="00DC5EB3"/>
    <w:rsid w:val="00DC6080"/>
    <w:rsid w:val="00DD44B8"/>
    <w:rsid w:val="00DE1366"/>
    <w:rsid w:val="00DF3A88"/>
    <w:rsid w:val="00E05427"/>
    <w:rsid w:val="00E31D32"/>
    <w:rsid w:val="00E428C2"/>
    <w:rsid w:val="00E44DB5"/>
    <w:rsid w:val="00E46C1A"/>
    <w:rsid w:val="00E536A8"/>
    <w:rsid w:val="00E66AB9"/>
    <w:rsid w:val="00E75345"/>
    <w:rsid w:val="00E80647"/>
    <w:rsid w:val="00EA4162"/>
    <w:rsid w:val="00EB78DE"/>
    <w:rsid w:val="00ED0219"/>
    <w:rsid w:val="00EE2C91"/>
    <w:rsid w:val="00EE3888"/>
    <w:rsid w:val="00EE400A"/>
    <w:rsid w:val="00F32969"/>
    <w:rsid w:val="00F6121A"/>
    <w:rsid w:val="00FA0452"/>
    <w:rsid w:val="00FA0C01"/>
    <w:rsid w:val="00FC0AE3"/>
    <w:rsid w:val="00FC34BD"/>
    <w:rsid w:val="00FE0C11"/>
    <w:rsid w:val="00FE28A1"/>
    <w:rsid w:val="00FF7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322253"/>
  <w15:docId w15:val="{C7C17269-7A9C-48FB-941A-2F4FFA80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6F"/>
    <w:pPr>
      <w:spacing w:after="200" w:line="276" w:lineRule="auto"/>
    </w:pPr>
    <w:rPr>
      <w:rFonts w:ascii="Arial" w:hAnsi="Arial" w:cs="Arial"/>
      <w:lang w:val="en-US" w:eastAsia="en-US"/>
    </w:rPr>
  </w:style>
  <w:style w:type="paragraph" w:styleId="Heading1">
    <w:name w:val="heading 1"/>
    <w:basedOn w:val="BodyText"/>
    <w:link w:val="Heading1Char"/>
    <w:uiPriority w:val="99"/>
    <w:qFormat/>
    <w:rsid w:val="00AD63C2"/>
    <w:pPr>
      <w:numPr>
        <w:numId w:val="10"/>
      </w:numPr>
      <w:spacing w:after="240"/>
      <w:outlineLvl w:val="0"/>
    </w:pPr>
    <w:rPr>
      <w:color w:val="004270"/>
      <w:sz w:val="36"/>
      <w:szCs w:val="36"/>
    </w:rPr>
  </w:style>
  <w:style w:type="paragraph" w:styleId="Heading2">
    <w:name w:val="heading 2"/>
    <w:basedOn w:val="Heading1"/>
    <w:link w:val="Heading2Char"/>
    <w:uiPriority w:val="99"/>
    <w:qFormat/>
    <w:rsid w:val="00AD63C2"/>
    <w:pPr>
      <w:keepNext/>
      <w:numPr>
        <w:ilvl w:val="1"/>
      </w:numPr>
      <w:tabs>
        <w:tab w:val="left" w:pos="1008"/>
      </w:tabs>
      <w:spacing w:before="360" w:after="120" w:line="240" w:lineRule="auto"/>
      <w:ind w:left="1008" w:hanging="1008"/>
      <w:outlineLvl w:val="1"/>
    </w:pPr>
    <w:rPr>
      <w:color w:val="09713C"/>
      <w:sz w:val="28"/>
      <w:szCs w:val="28"/>
      <w:lang w:val="en-CA" w:eastAsia="zh-CN"/>
    </w:rPr>
  </w:style>
  <w:style w:type="paragraph" w:styleId="Heading3">
    <w:name w:val="heading 3"/>
    <w:basedOn w:val="Heading2"/>
    <w:link w:val="Heading3Char"/>
    <w:uiPriority w:val="99"/>
    <w:qFormat/>
    <w:rsid w:val="00AD63C2"/>
    <w:pPr>
      <w:numPr>
        <w:ilvl w:val="2"/>
      </w:numPr>
      <w:ind w:left="1008" w:hanging="1008"/>
      <w:outlineLvl w:val="2"/>
    </w:pPr>
    <w:rPr>
      <w:b/>
      <w:bCs/>
      <w:color w:val="004270"/>
      <w:sz w:val="24"/>
      <w:szCs w:val="24"/>
    </w:rPr>
  </w:style>
  <w:style w:type="paragraph" w:styleId="Heading4">
    <w:name w:val="heading 4"/>
    <w:basedOn w:val="Heading3"/>
    <w:link w:val="Heading4Char"/>
    <w:uiPriority w:val="99"/>
    <w:qFormat/>
    <w:rsid w:val="008E7B88"/>
    <w:pPr>
      <w:numPr>
        <w:ilvl w:val="0"/>
        <w:numId w:val="0"/>
      </w:numPr>
      <w:outlineLvl w:val="3"/>
    </w:pPr>
    <w:rPr>
      <w:b w:val="0"/>
      <w:bCs w:val="0"/>
    </w:rPr>
  </w:style>
  <w:style w:type="paragraph" w:styleId="Heading5">
    <w:name w:val="heading 5"/>
    <w:basedOn w:val="Heading4"/>
    <w:link w:val="Heading5Char"/>
    <w:uiPriority w:val="99"/>
    <w:qFormat/>
    <w:rsid w:val="005B3644"/>
    <w:pPr>
      <w:ind w:left="432"/>
      <w:outlineLvl w:val="4"/>
    </w:pPr>
    <w:rPr>
      <w:b/>
      <w:bCs/>
      <w:color w:val="000000"/>
    </w:rPr>
  </w:style>
  <w:style w:type="paragraph" w:styleId="Heading6">
    <w:name w:val="heading 6"/>
    <w:basedOn w:val="Heading5"/>
    <w:link w:val="Heading6Char"/>
    <w:uiPriority w:val="99"/>
    <w:qFormat/>
    <w:rsid w:val="005B3644"/>
    <w:pPr>
      <w:ind w:left="792"/>
      <w:outlineLvl w:val="5"/>
    </w:pPr>
    <w:rPr>
      <w:b w:val="0"/>
      <w:bCs w:val="0"/>
      <w:u w:val="single"/>
    </w:rPr>
  </w:style>
  <w:style w:type="paragraph" w:styleId="Heading7">
    <w:name w:val="heading 7"/>
    <w:basedOn w:val="Heading6"/>
    <w:link w:val="Heading7Char"/>
    <w:uiPriority w:val="99"/>
    <w:qFormat/>
    <w:rsid w:val="00FE28A1"/>
    <w:pPr>
      <w:ind w:left="1152"/>
      <w:outlineLvl w:val="6"/>
    </w:pPr>
    <w:rPr>
      <w:i/>
      <w:iCs/>
      <w:u w:val="none"/>
    </w:rPr>
  </w:style>
  <w:style w:type="paragraph" w:styleId="Heading8">
    <w:name w:val="heading 8"/>
    <w:basedOn w:val="Normal"/>
    <w:next w:val="Normal"/>
    <w:link w:val="Heading8Char"/>
    <w:uiPriority w:val="99"/>
    <w:qFormat/>
    <w:rsid w:val="00D84C72"/>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D84C72"/>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3C2"/>
    <w:rPr>
      <w:rFonts w:ascii="Arial" w:hAnsi="Arial" w:cs="Arial"/>
      <w:color w:val="004270"/>
      <w:sz w:val="36"/>
      <w:szCs w:val="36"/>
      <w:lang w:val="en-US" w:eastAsia="en-US"/>
    </w:rPr>
  </w:style>
  <w:style w:type="character" w:customStyle="1" w:styleId="Heading2Char">
    <w:name w:val="Heading 2 Char"/>
    <w:basedOn w:val="DefaultParagraphFont"/>
    <w:link w:val="Heading2"/>
    <w:uiPriority w:val="99"/>
    <w:locked/>
    <w:rsid w:val="00AD63C2"/>
    <w:rPr>
      <w:rFonts w:ascii="Arial" w:hAnsi="Arial" w:cs="Arial"/>
      <w:color w:val="09713C"/>
      <w:sz w:val="28"/>
      <w:szCs w:val="28"/>
    </w:rPr>
  </w:style>
  <w:style w:type="character" w:customStyle="1" w:styleId="Heading3Char">
    <w:name w:val="Heading 3 Char"/>
    <w:basedOn w:val="DefaultParagraphFont"/>
    <w:link w:val="Heading3"/>
    <w:uiPriority w:val="99"/>
    <w:locked/>
    <w:rsid w:val="00AD63C2"/>
    <w:rPr>
      <w:rFonts w:ascii="Arial" w:hAnsi="Arial" w:cs="Arial"/>
      <w:b/>
      <w:bCs/>
      <w:color w:val="004270"/>
      <w:sz w:val="24"/>
      <w:szCs w:val="24"/>
    </w:rPr>
  </w:style>
  <w:style w:type="character" w:customStyle="1" w:styleId="Heading4Char">
    <w:name w:val="Heading 4 Char"/>
    <w:basedOn w:val="DefaultParagraphFont"/>
    <w:link w:val="Heading4"/>
    <w:uiPriority w:val="99"/>
    <w:locked/>
    <w:rsid w:val="008E7B88"/>
    <w:rPr>
      <w:rFonts w:ascii="Arial" w:hAnsi="Arial" w:cs="Arial"/>
      <w:color w:val="004270"/>
      <w:sz w:val="24"/>
      <w:szCs w:val="24"/>
    </w:rPr>
  </w:style>
  <w:style w:type="character" w:customStyle="1" w:styleId="Heading5Char">
    <w:name w:val="Heading 5 Char"/>
    <w:basedOn w:val="DefaultParagraphFont"/>
    <w:link w:val="Heading5"/>
    <w:uiPriority w:val="99"/>
    <w:locked/>
    <w:rsid w:val="005B3644"/>
    <w:rPr>
      <w:rFonts w:ascii="Arial" w:hAnsi="Arial" w:cs="Arial"/>
      <w:b/>
      <w:bCs/>
      <w:color w:val="000000"/>
      <w:sz w:val="24"/>
      <w:szCs w:val="24"/>
    </w:rPr>
  </w:style>
  <w:style w:type="character" w:customStyle="1" w:styleId="Heading6Char">
    <w:name w:val="Heading 6 Char"/>
    <w:basedOn w:val="DefaultParagraphFont"/>
    <w:link w:val="Heading6"/>
    <w:uiPriority w:val="99"/>
    <w:locked/>
    <w:rsid w:val="005B3644"/>
    <w:rPr>
      <w:rFonts w:ascii="Arial" w:hAnsi="Arial" w:cs="Arial"/>
      <w:color w:val="000000"/>
      <w:sz w:val="24"/>
      <w:szCs w:val="24"/>
      <w:u w:val="single"/>
    </w:rPr>
  </w:style>
  <w:style w:type="character" w:customStyle="1" w:styleId="Heading7Char">
    <w:name w:val="Heading 7 Char"/>
    <w:basedOn w:val="DefaultParagraphFont"/>
    <w:link w:val="Heading7"/>
    <w:uiPriority w:val="99"/>
    <w:locked/>
    <w:rsid w:val="00FE28A1"/>
    <w:rPr>
      <w:rFonts w:ascii="Arial" w:hAnsi="Arial" w:cs="Arial"/>
      <w:i/>
      <w:iCs/>
      <w:color w:val="000000"/>
      <w:sz w:val="24"/>
      <w:szCs w:val="24"/>
    </w:rPr>
  </w:style>
  <w:style w:type="character" w:customStyle="1" w:styleId="Heading8Char">
    <w:name w:val="Heading 8 Char"/>
    <w:basedOn w:val="DefaultParagraphFont"/>
    <w:link w:val="Heading8"/>
    <w:uiPriority w:val="99"/>
    <w:locked/>
    <w:rsid w:val="00D84C72"/>
    <w:rPr>
      <w:rFonts w:ascii="Cambria" w:hAnsi="Cambria" w:cs="Cambria"/>
      <w:sz w:val="20"/>
      <w:szCs w:val="20"/>
      <w:lang w:val="en-US" w:eastAsia="en-US"/>
    </w:rPr>
  </w:style>
  <w:style w:type="character" w:customStyle="1" w:styleId="Heading9Char">
    <w:name w:val="Heading 9 Char"/>
    <w:basedOn w:val="DefaultParagraphFont"/>
    <w:link w:val="Heading9"/>
    <w:uiPriority w:val="99"/>
    <w:semiHidden/>
    <w:locked/>
    <w:rsid w:val="00D84C72"/>
    <w:rPr>
      <w:rFonts w:ascii="Cambria" w:hAnsi="Cambria" w:cs="Cambria"/>
      <w:i/>
      <w:iCs/>
      <w:spacing w:val="5"/>
      <w:sz w:val="20"/>
      <w:szCs w:val="20"/>
      <w:lang w:val="en-US" w:eastAsia="en-US"/>
    </w:rPr>
  </w:style>
  <w:style w:type="paragraph" w:customStyle="1" w:styleId="BIAreferences">
    <w:name w:val="BIA references"/>
    <w:basedOn w:val="Normal"/>
    <w:link w:val="BIAreferencesChar"/>
    <w:uiPriority w:val="99"/>
    <w:rsid w:val="00D84C72"/>
    <w:pPr>
      <w:spacing w:before="240" w:after="240"/>
    </w:pPr>
    <w:rPr>
      <w:color w:val="0078B8"/>
      <w:sz w:val="20"/>
      <w:szCs w:val="20"/>
    </w:rPr>
  </w:style>
  <w:style w:type="paragraph" w:customStyle="1" w:styleId="BodyText">
    <w:name w:val="BodyText"/>
    <w:basedOn w:val="Normal"/>
    <w:link w:val="BodyTextChar"/>
    <w:uiPriority w:val="99"/>
    <w:rsid w:val="00D84C72"/>
    <w:pPr>
      <w:spacing w:before="60" w:after="160"/>
    </w:pPr>
  </w:style>
  <w:style w:type="paragraph" w:customStyle="1" w:styleId="bodyindent2">
    <w:name w:val="body indent 2."/>
    <w:basedOn w:val="Normal"/>
    <w:uiPriority w:val="99"/>
    <w:rsid w:val="00D84C72"/>
    <w:pPr>
      <w:numPr>
        <w:numId w:val="3"/>
      </w:numPr>
      <w:spacing w:before="60" w:after="160"/>
    </w:pPr>
    <w:rPr>
      <w:color w:val="000000"/>
    </w:rPr>
  </w:style>
  <w:style w:type="paragraph" w:customStyle="1" w:styleId="bodyindent3">
    <w:name w:val="body indent3"/>
    <w:basedOn w:val="bodyindent2"/>
    <w:uiPriority w:val="99"/>
    <w:rsid w:val="00532F9C"/>
    <w:pPr>
      <w:numPr>
        <w:ilvl w:val="1"/>
        <w:numId w:val="4"/>
      </w:numPr>
      <w:ind w:left="1368"/>
    </w:pPr>
  </w:style>
  <w:style w:type="paragraph" w:customStyle="1" w:styleId="BodyIndent">
    <w:name w:val="BodyIndent"/>
    <w:basedOn w:val="BodyText"/>
    <w:link w:val="BodyIndentChar"/>
    <w:uiPriority w:val="99"/>
    <w:rsid w:val="00D84C72"/>
    <w:pPr>
      <w:numPr>
        <w:numId w:val="5"/>
      </w:numPr>
      <w:spacing w:before="0"/>
    </w:pPr>
  </w:style>
  <w:style w:type="paragraph" w:customStyle="1" w:styleId="BodyIndent1">
    <w:name w:val="BodyIndent 1"/>
    <w:basedOn w:val="BodyIndent"/>
    <w:uiPriority w:val="99"/>
    <w:rsid w:val="00D84C72"/>
    <w:pPr>
      <w:numPr>
        <w:numId w:val="6"/>
      </w:numPr>
    </w:pPr>
  </w:style>
  <w:style w:type="paragraph" w:styleId="DocumentMap">
    <w:name w:val="Document Map"/>
    <w:basedOn w:val="Normal"/>
    <w:link w:val="DocumentMapChar"/>
    <w:uiPriority w:val="99"/>
    <w:semiHidden/>
    <w:rsid w:val="00D84C7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4C72"/>
    <w:rPr>
      <w:rFonts w:ascii="Tahoma" w:hAnsi="Tahoma" w:cs="Tahoma"/>
      <w:sz w:val="16"/>
      <w:szCs w:val="16"/>
      <w:lang w:val="en-US" w:eastAsia="en-US"/>
    </w:rPr>
  </w:style>
  <w:style w:type="paragraph" w:styleId="Footer">
    <w:name w:val="footer"/>
    <w:basedOn w:val="BodyText"/>
    <w:link w:val="FooterChar"/>
    <w:uiPriority w:val="99"/>
    <w:rsid w:val="00D84C72"/>
    <w:pPr>
      <w:tabs>
        <w:tab w:val="center" w:pos="4680"/>
        <w:tab w:val="right" w:pos="9360"/>
      </w:tabs>
      <w:spacing w:after="0"/>
    </w:pPr>
  </w:style>
  <w:style w:type="character" w:customStyle="1" w:styleId="FooterChar">
    <w:name w:val="Footer Char"/>
    <w:basedOn w:val="DefaultParagraphFont"/>
    <w:link w:val="Footer"/>
    <w:uiPriority w:val="99"/>
    <w:locked/>
    <w:rsid w:val="002443A7"/>
    <w:rPr>
      <w:rFonts w:ascii="Arial" w:hAnsi="Arial" w:cs="Arial"/>
      <w:lang w:val="en-US" w:eastAsia="en-US"/>
    </w:rPr>
  </w:style>
  <w:style w:type="character" w:styleId="FootnoteReference">
    <w:name w:val="footnote reference"/>
    <w:basedOn w:val="DefaultParagraphFont"/>
    <w:uiPriority w:val="99"/>
    <w:semiHidden/>
    <w:rsid w:val="00D84C72"/>
    <w:rPr>
      <w:rFonts w:cs="Times New Roman"/>
      <w:vertAlign w:val="superscript"/>
    </w:rPr>
  </w:style>
  <w:style w:type="paragraph" w:styleId="FootnoteText">
    <w:name w:val="footnote text"/>
    <w:basedOn w:val="Normal"/>
    <w:link w:val="FootnoteTextChar"/>
    <w:uiPriority w:val="99"/>
    <w:semiHidden/>
    <w:rsid w:val="007C2B70"/>
    <w:pPr>
      <w:spacing w:before="120" w:after="120" w:line="240" w:lineRule="auto"/>
    </w:pPr>
    <w:rPr>
      <w:color w:val="211E1E"/>
      <w:sz w:val="16"/>
      <w:szCs w:val="16"/>
      <w:lang w:val="en-CA" w:eastAsia="zh-CN"/>
    </w:rPr>
  </w:style>
  <w:style w:type="character" w:customStyle="1" w:styleId="FootnoteTextChar">
    <w:name w:val="Footnote Text Char"/>
    <w:basedOn w:val="DefaultParagraphFont"/>
    <w:link w:val="FootnoteText"/>
    <w:uiPriority w:val="99"/>
    <w:locked/>
    <w:rsid w:val="007C2B70"/>
    <w:rPr>
      <w:rFonts w:ascii="Arial" w:hAnsi="Arial" w:cs="Arial"/>
      <w:color w:val="211E1E"/>
      <w:sz w:val="20"/>
      <w:szCs w:val="20"/>
    </w:rPr>
  </w:style>
  <w:style w:type="paragraph" w:styleId="Quote">
    <w:name w:val="Quote"/>
    <w:basedOn w:val="Normal"/>
    <w:next w:val="Normal"/>
    <w:link w:val="QuoteChar"/>
    <w:uiPriority w:val="99"/>
    <w:qFormat/>
    <w:rsid w:val="00D84C72"/>
    <w:pPr>
      <w:spacing w:before="200" w:after="0"/>
      <w:ind w:left="360" w:right="360"/>
    </w:pPr>
    <w:rPr>
      <w:i/>
      <w:iCs/>
    </w:rPr>
  </w:style>
  <w:style w:type="character" w:customStyle="1" w:styleId="QuoteChar">
    <w:name w:val="Quote Char"/>
    <w:basedOn w:val="DefaultParagraphFont"/>
    <w:link w:val="Quote"/>
    <w:uiPriority w:val="99"/>
    <w:locked/>
    <w:rsid w:val="00D84C72"/>
    <w:rPr>
      <w:rFonts w:ascii="Arial" w:hAnsi="Arial" w:cs="Arial"/>
      <w:i/>
      <w:iCs/>
      <w:lang w:val="en-US" w:eastAsia="en-US"/>
    </w:rPr>
  </w:style>
  <w:style w:type="paragraph" w:customStyle="1" w:styleId="Appendixheadline">
    <w:name w:val="Appendix headline"/>
    <w:basedOn w:val="Normal"/>
    <w:uiPriority w:val="99"/>
    <w:rsid w:val="004D262B"/>
    <w:pPr>
      <w:keepNext/>
      <w:pageBreakBefore/>
      <w:spacing w:before="240" w:after="120" w:line="240" w:lineRule="auto"/>
    </w:pPr>
    <w:rPr>
      <w:rFonts w:eastAsia="SimSun"/>
      <w:color w:val="056F3A"/>
      <w:sz w:val="28"/>
      <w:szCs w:val="28"/>
    </w:rPr>
  </w:style>
  <w:style w:type="paragraph" w:customStyle="1" w:styleId="TableHeading">
    <w:name w:val="Table Heading"/>
    <w:basedOn w:val="BodyText"/>
    <w:uiPriority w:val="99"/>
    <w:rsid w:val="00D84C72"/>
    <w:pPr>
      <w:spacing w:after="60"/>
      <w:jc w:val="center"/>
    </w:pPr>
    <w:rPr>
      <w:b/>
      <w:bCs/>
      <w:color w:val="1F497D"/>
      <w:sz w:val="24"/>
      <w:szCs w:val="24"/>
    </w:rPr>
  </w:style>
  <w:style w:type="paragraph" w:customStyle="1" w:styleId="Tabletext">
    <w:name w:val="Table text"/>
    <w:basedOn w:val="BodyText"/>
    <w:uiPriority w:val="99"/>
    <w:rsid w:val="00D84C72"/>
    <w:pPr>
      <w:spacing w:after="60"/>
    </w:pPr>
  </w:style>
  <w:style w:type="paragraph" w:styleId="TOC1">
    <w:name w:val="toc 1"/>
    <w:basedOn w:val="Normal"/>
    <w:next w:val="Normal"/>
    <w:autoRedefine/>
    <w:uiPriority w:val="99"/>
    <w:semiHidden/>
    <w:rsid w:val="00D84C72"/>
    <w:pPr>
      <w:keepNext/>
      <w:tabs>
        <w:tab w:val="left" w:pos="648"/>
        <w:tab w:val="right" w:leader="dot" w:pos="8990"/>
      </w:tabs>
      <w:spacing w:before="240" w:after="0"/>
    </w:pPr>
    <w:rPr>
      <w:b/>
      <w:bCs/>
      <w:caps/>
      <w:sz w:val="24"/>
      <w:szCs w:val="24"/>
    </w:rPr>
  </w:style>
  <w:style w:type="paragraph" w:styleId="TOC2">
    <w:name w:val="toc 2"/>
    <w:basedOn w:val="TOC1"/>
    <w:autoRedefine/>
    <w:uiPriority w:val="99"/>
    <w:semiHidden/>
    <w:rsid w:val="00D84C72"/>
    <w:pPr>
      <w:tabs>
        <w:tab w:val="clear" w:pos="648"/>
        <w:tab w:val="left" w:pos="660"/>
      </w:tabs>
    </w:pPr>
    <w:rPr>
      <w:b w:val="0"/>
      <w:bCs w:val="0"/>
      <w:caps w:val="0"/>
      <w:noProof/>
      <w:sz w:val="22"/>
      <w:szCs w:val="22"/>
    </w:rPr>
  </w:style>
  <w:style w:type="paragraph" w:styleId="TOC3">
    <w:name w:val="toc 3"/>
    <w:basedOn w:val="TOC2"/>
    <w:next w:val="Normal"/>
    <w:autoRedefine/>
    <w:uiPriority w:val="99"/>
    <w:semiHidden/>
    <w:rsid w:val="00D84C72"/>
    <w:pPr>
      <w:tabs>
        <w:tab w:val="left" w:pos="1540"/>
      </w:tabs>
      <w:ind w:left="648"/>
    </w:pPr>
  </w:style>
  <w:style w:type="paragraph" w:styleId="Title">
    <w:name w:val="Title"/>
    <w:basedOn w:val="Heading1"/>
    <w:next w:val="Normal"/>
    <w:link w:val="TitleChar"/>
    <w:uiPriority w:val="99"/>
    <w:qFormat/>
    <w:rsid w:val="008469F7"/>
    <w:pPr>
      <w:numPr>
        <w:numId w:val="0"/>
      </w:numPr>
    </w:pPr>
    <w:rPr>
      <w:sz w:val="48"/>
      <w:szCs w:val="48"/>
    </w:rPr>
  </w:style>
  <w:style w:type="character" w:customStyle="1" w:styleId="TitleChar">
    <w:name w:val="Title Char"/>
    <w:basedOn w:val="DefaultParagraphFont"/>
    <w:link w:val="Title"/>
    <w:uiPriority w:val="99"/>
    <w:locked/>
    <w:rsid w:val="008469F7"/>
    <w:rPr>
      <w:rFonts w:ascii="Arial" w:hAnsi="Arial" w:cs="Arial"/>
      <w:color w:val="004270"/>
      <w:sz w:val="48"/>
      <w:szCs w:val="48"/>
      <w:lang w:val="en-US" w:eastAsia="en-US"/>
    </w:rPr>
  </w:style>
  <w:style w:type="paragraph" w:customStyle="1" w:styleId="Appendixcontinued">
    <w:name w:val="Appendix continued"/>
    <w:basedOn w:val="Appendixheadline"/>
    <w:uiPriority w:val="99"/>
    <w:rsid w:val="00966305"/>
    <w:rPr>
      <w:color w:val="09713C"/>
    </w:rPr>
  </w:style>
  <w:style w:type="paragraph" w:customStyle="1" w:styleId="Appendixsubheadline">
    <w:name w:val="Appendix subheadline"/>
    <w:basedOn w:val="Normal"/>
    <w:uiPriority w:val="99"/>
    <w:rsid w:val="00966305"/>
    <w:pPr>
      <w:keepNext/>
      <w:spacing w:before="240" w:after="240"/>
    </w:pPr>
    <w:rPr>
      <w:rFonts w:eastAsia="SimSun"/>
      <w:b/>
      <w:bCs/>
      <w:color w:val="004270"/>
      <w:sz w:val="24"/>
      <w:szCs w:val="24"/>
    </w:rPr>
  </w:style>
  <w:style w:type="paragraph" w:customStyle="1" w:styleId="Appendixtopic">
    <w:name w:val="Appendix topic"/>
    <w:basedOn w:val="Normal"/>
    <w:uiPriority w:val="99"/>
    <w:rsid w:val="00966305"/>
    <w:pPr>
      <w:keepNext/>
      <w:spacing w:before="240" w:after="0" w:line="360" w:lineRule="auto"/>
    </w:pPr>
    <w:rPr>
      <w:rFonts w:eastAsia="SimSun"/>
      <w:color w:val="004270"/>
      <w:sz w:val="24"/>
      <w:szCs w:val="24"/>
    </w:rPr>
  </w:style>
  <w:style w:type="table" w:styleId="TableGrid">
    <w:name w:val="Table Grid"/>
    <w:basedOn w:val="TableNormal"/>
    <w:uiPriority w:val="99"/>
    <w:rsid w:val="00A15CA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Text Char"/>
    <w:basedOn w:val="DefaultParagraphFont"/>
    <w:link w:val="BodyText"/>
    <w:uiPriority w:val="99"/>
    <w:locked/>
    <w:rsid w:val="00A15CAC"/>
    <w:rPr>
      <w:rFonts w:ascii="Arial" w:hAnsi="Arial" w:cs="Arial"/>
      <w:lang w:val="en-US" w:eastAsia="en-US"/>
    </w:rPr>
  </w:style>
  <w:style w:type="paragraph" w:customStyle="1" w:styleId="BodyText2">
    <w:name w:val="BodyText 2"/>
    <w:basedOn w:val="BodyIndent"/>
    <w:link w:val="BodyText2Char"/>
    <w:uiPriority w:val="99"/>
    <w:rsid w:val="004B3AC2"/>
    <w:pPr>
      <w:numPr>
        <w:numId w:val="0"/>
      </w:numPr>
      <w:ind w:left="360"/>
    </w:pPr>
  </w:style>
  <w:style w:type="character" w:customStyle="1" w:styleId="BodyIndentChar">
    <w:name w:val="BodyIndent Char"/>
    <w:basedOn w:val="BodyTextChar"/>
    <w:link w:val="BodyIndent"/>
    <w:uiPriority w:val="99"/>
    <w:locked/>
    <w:rsid w:val="004B3AC2"/>
    <w:rPr>
      <w:rFonts w:ascii="Arial" w:hAnsi="Arial" w:cs="Arial"/>
      <w:lang w:val="en-US" w:eastAsia="en-US"/>
    </w:rPr>
  </w:style>
  <w:style w:type="character" w:customStyle="1" w:styleId="BodyText2Char">
    <w:name w:val="BodyText 2 Char"/>
    <w:basedOn w:val="BodyIndentChar"/>
    <w:link w:val="BodyText2"/>
    <w:uiPriority w:val="99"/>
    <w:locked/>
    <w:rsid w:val="004B3AC2"/>
    <w:rPr>
      <w:rFonts w:ascii="Arial" w:hAnsi="Arial" w:cs="Arial"/>
      <w:lang w:val="en-US" w:eastAsia="en-US"/>
    </w:rPr>
  </w:style>
  <w:style w:type="paragraph" w:customStyle="1" w:styleId="BodyText5">
    <w:name w:val="BodyText 5"/>
    <w:basedOn w:val="BodyText2"/>
    <w:uiPriority w:val="99"/>
    <w:rsid w:val="005B3644"/>
    <w:pPr>
      <w:ind w:left="432"/>
    </w:pPr>
  </w:style>
  <w:style w:type="paragraph" w:customStyle="1" w:styleId="BodyText6">
    <w:name w:val="BodyText 6"/>
    <w:basedOn w:val="BodyText5"/>
    <w:uiPriority w:val="99"/>
    <w:rsid w:val="005B3644"/>
    <w:pPr>
      <w:ind w:left="792"/>
    </w:pPr>
  </w:style>
  <w:style w:type="paragraph" w:customStyle="1" w:styleId="BodyText7">
    <w:name w:val="BodyText 7"/>
    <w:basedOn w:val="BodyText6"/>
    <w:uiPriority w:val="99"/>
    <w:rsid w:val="00FE28A1"/>
    <w:pPr>
      <w:ind w:left="1152"/>
    </w:pPr>
  </w:style>
  <w:style w:type="paragraph" w:customStyle="1" w:styleId="bodyindent5">
    <w:name w:val="body indent5"/>
    <w:basedOn w:val="bodyindent3"/>
    <w:uiPriority w:val="99"/>
    <w:rsid w:val="005B3644"/>
    <w:pPr>
      <w:ind w:left="792"/>
    </w:pPr>
  </w:style>
  <w:style w:type="paragraph" w:customStyle="1" w:styleId="bodyindent6">
    <w:name w:val="body indent6"/>
    <w:basedOn w:val="bodyindent5"/>
    <w:uiPriority w:val="99"/>
    <w:rsid w:val="00FE28A1"/>
    <w:pPr>
      <w:numPr>
        <w:ilvl w:val="0"/>
      </w:numPr>
      <w:ind w:left="1152"/>
    </w:pPr>
  </w:style>
  <w:style w:type="paragraph" w:customStyle="1" w:styleId="bodyindent7">
    <w:name w:val="body indent7"/>
    <w:basedOn w:val="bodyindent6"/>
    <w:uiPriority w:val="99"/>
    <w:rsid w:val="00FE28A1"/>
    <w:pPr>
      <w:ind w:left="1512"/>
    </w:pPr>
  </w:style>
  <w:style w:type="paragraph" w:customStyle="1" w:styleId="BIAreference2">
    <w:name w:val="BIA reference 2"/>
    <w:basedOn w:val="BIAreferences"/>
    <w:uiPriority w:val="99"/>
    <w:rsid w:val="00CD3D4E"/>
    <w:pPr>
      <w:ind w:left="360"/>
    </w:pPr>
  </w:style>
  <w:style w:type="paragraph" w:customStyle="1" w:styleId="BIArefenences3">
    <w:name w:val="BIA refenences 3"/>
    <w:basedOn w:val="BIAreference2"/>
    <w:uiPriority w:val="99"/>
    <w:rsid w:val="00832A02"/>
    <w:pPr>
      <w:ind w:left="1080"/>
    </w:pPr>
  </w:style>
  <w:style w:type="paragraph" w:customStyle="1" w:styleId="BIArefenences5">
    <w:name w:val="BIA refenences 5"/>
    <w:basedOn w:val="BIArefenences3"/>
    <w:uiPriority w:val="99"/>
    <w:rsid w:val="005B3644"/>
    <w:pPr>
      <w:ind w:left="432"/>
    </w:pPr>
  </w:style>
  <w:style w:type="paragraph" w:customStyle="1" w:styleId="BIAreferences6">
    <w:name w:val="BIA references 6"/>
    <w:basedOn w:val="BIArefenences5"/>
    <w:uiPriority w:val="99"/>
    <w:rsid w:val="005B3644"/>
    <w:pPr>
      <w:ind w:left="792"/>
    </w:pPr>
  </w:style>
  <w:style w:type="paragraph" w:customStyle="1" w:styleId="BIAreferences7">
    <w:name w:val="BIA references 7"/>
    <w:basedOn w:val="BIAreferences6"/>
    <w:uiPriority w:val="99"/>
    <w:rsid w:val="00FE28A1"/>
    <w:pPr>
      <w:ind w:left="1152"/>
    </w:pPr>
  </w:style>
  <w:style w:type="paragraph" w:styleId="Header">
    <w:name w:val="header"/>
    <w:basedOn w:val="Normal"/>
    <w:link w:val="HeaderChar"/>
    <w:uiPriority w:val="99"/>
    <w:rsid w:val="00832A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2A02"/>
    <w:rPr>
      <w:rFonts w:ascii="Arial" w:hAnsi="Arial" w:cs="Arial"/>
      <w:lang w:val="en-US" w:eastAsia="en-US"/>
    </w:rPr>
  </w:style>
  <w:style w:type="paragraph" w:customStyle="1" w:styleId="Quote2">
    <w:name w:val="Quote 2"/>
    <w:basedOn w:val="Quote"/>
    <w:uiPriority w:val="99"/>
    <w:rsid w:val="00C418B7"/>
    <w:pPr>
      <w:ind w:left="720"/>
    </w:pPr>
  </w:style>
  <w:style w:type="paragraph" w:customStyle="1" w:styleId="Quote3">
    <w:name w:val="Quote 3"/>
    <w:basedOn w:val="Quote2"/>
    <w:uiPriority w:val="99"/>
    <w:rsid w:val="00C418B7"/>
    <w:pPr>
      <w:ind w:left="1080"/>
    </w:pPr>
  </w:style>
  <w:style w:type="paragraph" w:customStyle="1" w:styleId="Quote4">
    <w:name w:val="Quote 4"/>
    <w:basedOn w:val="Quote3"/>
    <w:uiPriority w:val="99"/>
    <w:rsid w:val="00421144"/>
    <w:pPr>
      <w:ind w:left="1872"/>
    </w:pPr>
  </w:style>
  <w:style w:type="character" w:customStyle="1" w:styleId="BIAreferencesChar">
    <w:name w:val="BIA references Char"/>
    <w:basedOn w:val="DefaultParagraphFont"/>
    <w:link w:val="BIAreferences"/>
    <w:uiPriority w:val="99"/>
    <w:locked/>
    <w:rsid w:val="00FE28A1"/>
    <w:rPr>
      <w:rFonts w:ascii="Arial" w:hAnsi="Arial" w:cs="Arial"/>
      <w:color w:val="0078B8"/>
      <w:sz w:val="20"/>
      <w:szCs w:val="20"/>
      <w:lang w:val="en-US" w:eastAsia="en-US"/>
    </w:rPr>
  </w:style>
  <w:style w:type="paragraph" w:styleId="BalloonText">
    <w:name w:val="Balloon Text"/>
    <w:basedOn w:val="Normal"/>
    <w:link w:val="BalloonTextChar"/>
    <w:uiPriority w:val="99"/>
    <w:semiHidden/>
    <w:rsid w:val="00FE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8A1"/>
    <w:rPr>
      <w:rFonts w:ascii="Tahoma" w:hAnsi="Tahoma" w:cs="Tahoma"/>
      <w:sz w:val="16"/>
      <w:szCs w:val="16"/>
      <w:lang w:val="en-US" w:eastAsia="en-US"/>
    </w:rPr>
  </w:style>
  <w:style w:type="paragraph" w:styleId="ListParagraph">
    <w:name w:val="List Paragraph"/>
    <w:basedOn w:val="Normal"/>
    <w:uiPriority w:val="99"/>
    <w:qFormat/>
    <w:rsid w:val="005E256F"/>
    <w:pPr>
      <w:spacing w:after="0" w:line="240" w:lineRule="auto"/>
      <w:ind w:left="720"/>
    </w:pPr>
    <w:rPr>
      <w:sz w:val="24"/>
      <w:szCs w:val="24"/>
    </w:rPr>
  </w:style>
  <w:style w:type="paragraph" w:styleId="NoSpacing">
    <w:name w:val="No Spacing"/>
    <w:uiPriority w:val="99"/>
    <w:qFormat/>
    <w:rsid w:val="005E256F"/>
    <w:rPr>
      <w:rFonts w:ascii="Arial" w:hAnsi="Arial" w:cs="Arial"/>
      <w:sz w:val="24"/>
      <w:szCs w:val="24"/>
      <w:lang w:val="en-CA" w:eastAsia="en-US"/>
    </w:rPr>
  </w:style>
  <w:style w:type="character" w:styleId="CommentReference">
    <w:name w:val="annotation reference"/>
    <w:basedOn w:val="DefaultParagraphFont"/>
    <w:uiPriority w:val="99"/>
    <w:semiHidden/>
    <w:rsid w:val="00B36C64"/>
    <w:rPr>
      <w:rFonts w:cs="Times New Roman"/>
      <w:sz w:val="16"/>
      <w:szCs w:val="16"/>
    </w:rPr>
  </w:style>
  <w:style w:type="paragraph" w:styleId="CommentText">
    <w:name w:val="annotation text"/>
    <w:basedOn w:val="Normal"/>
    <w:link w:val="CommentTextChar"/>
    <w:uiPriority w:val="99"/>
    <w:semiHidden/>
    <w:rsid w:val="00B36C64"/>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B36C64"/>
    <w:rPr>
      <w:rFonts w:ascii="Times New Roman" w:hAnsi="Times New Roman" w:cs="Times New Roman"/>
      <w:sz w:val="20"/>
      <w:szCs w:val="20"/>
      <w:lang w:val="en-US" w:eastAsia="en-US"/>
    </w:rPr>
  </w:style>
  <w:style w:type="character" w:styleId="Hyperlink">
    <w:name w:val="Hyperlink"/>
    <w:basedOn w:val="DefaultParagraphFont"/>
    <w:uiPriority w:val="99"/>
    <w:rsid w:val="00B36C64"/>
    <w:rPr>
      <w:rFonts w:cs="Times New Roman"/>
      <w:color w:val="0000FF"/>
      <w:u w:val="single"/>
    </w:rPr>
  </w:style>
  <w:style w:type="character" w:styleId="FollowedHyperlink">
    <w:name w:val="FollowedHyperlink"/>
    <w:basedOn w:val="DefaultParagraphFont"/>
    <w:uiPriority w:val="99"/>
    <w:semiHidden/>
    <w:rsid w:val="00A85EB2"/>
    <w:rPr>
      <w:rFonts w:cs="Times New Roman"/>
      <w:color w:val="800080"/>
      <w:u w:val="single"/>
    </w:rPr>
  </w:style>
  <w:style w:type="paragraph" w:styleId="CommentSubject">
    <w:name w:val="annotation subject"/>
    <w:basedOn w:val="CommentText"/>
    <w:next w:val="CommentText"/>
    <w:link w:val="CommentSubjectChar"/>
    <w:uiPriority w:val="99"/>
    <w:semiHidden/>
    <w:rsid w:val="00DC5EB3"/>
    <w:pPr>
      <w:spacing w:after="200"/>
    </w:pPr>
    <w:rPr>
      <w:b/>
      <w:bCs/>
    </w:rPr>
  </w:style>
  <w:style w:type="character" w:customStyle="1" w:styleId="CommentSubjectChar">
    <w:name w:val="Comment Subject Char"/>
    <w:basedOn w:val="CommentTextChar"/>
    <w:link w:val="CommentSubject"/>
    <w:uiPriority w:val="99"/>
    <w:semiHidden/>
    <w:locked/>
    <w:rsid w:val="00DC5EB3"/>
    <w:rPr>
      <w:rFonts w:ascii="Arial" w:hAnsi="Arial" w:cs="Arial"/>
      <w:b/>
      <w:bCs/>
      <w:sz w:val="20"/>
      <w:szCs w:val="20"/>
      <w:lang w:val="en-US" w:eastAsia="en-US"/>
    </w:rPr>
  </w:style>
  <w:style w:type="character" w:styleId="UnresolvedMention">
    <w:name w:val="Unresolved Mention"/>
    <w:basedOn w:val="DefaultParagraphFont"/>
    <w:uiPriority w:val="99"/>
    <w:semiHidden/>
    <w:unhideWhenUsed/>
    <w:rsid w:val="00066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6853">
      <w:marLeft w:val="0"/>
      <w:marRight w:val="0"/>
      <w:marTop w:val="0"/>
      <w:marBottom w:val="0"/>
      <w:divBdr>
        <w:top w:val="none" w:sz="0" w:space="0" w:color="auto"/>
        <w:left w:val="none" w:sz="0" w:space="0" w:color="auto"/>
        <w:bottom w:val="none" w:sz="0" w:space="0" w:color="auto"/>
        <w:right w:val="none" w:sz="0" w:space="0" w:color="auto"/>
      </w:divBdr>
    </w:div>
    <w:div w:id="13748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PDF/B-3.pdf" TargetMode="External"/><Relationship Id="rId13" Type="http://schemas.openxmlformats.org/officeDocument/2006/relationships/hyperlink" Target="http://laws-lois.justice.gc.ca/PDF/I-3.3.pdf" TargetMode="External"/><Relationship Id="rId18" Type="http://schemas.openxmlformats.org/officeDocument/2006/relationships/hyperlink" Target="http://www.law.cornell.edu/uscode/html/uscode11/usc_sup_01_11.html" TargetMode="External"/><Relationship Id="rId26" Type="http://schemas.openxmlformats.org/officeDocument/2006/relationships/hyperlink" Target="https://www.canlii.org/fr/doctrine/actes/69" TargetMode="External"/><Relationship Id="rId3" Type="http://schemas.openxmlformats.org/officeDocument/2006/relationships/settings" Target="settings.xml"/><Relationship Id="rId21" Type="http://schemas.openxmlformats.org/officeDocument/2006/relationships/hyperlink" Target="https://cairp.ca/_Library/Documents_FR_/regles-de-conduite-professionnelle-et-interpretations-version-r_vis_e-en-mars-2019.pdf" TargetMode="External"/><Relationship Id="rId7" Type="http://schemas.openxmlformats.org/officeDocument/2006/relationships/image" Target="media/image1.jpeg"/><Relationship Id="rId12" Type="http://schemas.openxmlformats.org/officeDocument/2006/relationships/hyperlink" Target="http://laws-lois.justice.gc.ca/PDF/C-44.pdf" TargetMode="External"/><Relationship Id="rId17" Type="http://schemas.openxmlformats.org/officeDocument/2006/relationships/hyperlink" Target="http://laws-lois.justice.gc.ca/PDF/F-2.27.pdf" TargetMode="External"/><Relationship Id="rId25" Type="http://schemas.openxmlformats.org/officeDocument/2006/relationships/hyperlink" Target="http://www.cairp.ca/fr/medias/publications/magazine-rebuilding-success/" TargetMode="External"/><Relationship Id="rId2" Type="http://schemas.openxmlformats.org/officeDocument/2006/relationships/styles" Target="styles.xml"/><Relationship Id="rId16" Type="http://schemas.openxmlformats.org/officeDocument/2006/relationships/hyperlink" Target="http://laws-lois.justice.gc.ca/PDF/B-1.01.pdf" TargetMode="External"/><Relationship Id="rId20" Type="http://schemas.openxmlformats.org/officeDocument/2006/relationships/hyperlink" Target="https://cairp.ca/_Library/_documents/ACPIR_Normes-de-pratique-professionnelle_FR.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PDF/W-11.pdf" TargetMode="External"/><Relationship Id="rId24" Type="http://schemas.openxmlformats.org/officeDocument/2006/relationships/hyperlink" Target="http://www.cairp.ca/fr/medias/publications/bulletins/" TargetMode="External"/><Relationship Id="rId5" Type="http://schemas.openxmlformats.org/officeDocument/2006/relationships/footnotes" Target="footnotes.xml"/><Relationship Id="rId15" Type="http://schemas.openxmlformats.org/officeDocument/2006/relationships/hyperlink" Target="http://laws-lois.justice.gc.ca/PDF/P-8.6.pdf" TargetMode="External"/><Relationship Id="rId23" Type="http://schemas.openxmlformats.org/officeDocument/2006/relationships/hyperlink" Target="http://www.cairp.ca/fr/section-membres/communications-aux-membres/" TargetMode="External"/><Relationship Id="rId28" Type="http://schemas.openxmlformats.org/officeDocument/2006/relationships/header" Target="header1.xml"/><Relationship Id="rId10" Type="http://schemas.openxmlformats.org/officeDocument/2006/relationships/hyperlink" Target="http://laws-lois.justice.gc.ca/PDF/C-36.pdf" TargetMode="External"/><Relationship Id="rId19" Type="http://schemas.openxmlformats.org/officeDocument/2006/relationships/hyperlink" Target="http://www.ic.gc.ca/eic/site/bsf-osb.nsf/eng/h_br0122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s-lois.justice.gc.ca/PDF/W-0.8.pdf" TargetMode="External"/><Relationship Id="rId14" Type="http://schemas.openxmlformats.org/officeDocument/2006/relationships/hyperlink" Target="http://laws-lois.justice.gc.ca/PDF/E-15.pdf" TargetMode="External"/><Relationship Id="rId22" Type="http://schemas.openxmlformats.org/officeDocument/2006/relationships/hyperlink" Target="https://cairp.ca/_Library/AGM_2021/CAIRP_Bylaws_FR_-_Updated_Sep_2021.pdf" TargetMode="External"/><Relationship Id="rId27" Type="http://schemas.openxmlformats.org/officeDocument/2006/relationships/hyperlink" Target="https://insolvencyinsider.c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679</Words>
  <Characters>5708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Apostrophe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Tennant</dc:creator>
  <cp:lastModifiedBy>Isabelle Gauthier</cp:lastModifiedBy>
  <cp:revision>8</cp:revision>
  <cp:lastPrinted>2014-08-29T19:57:00Z</cp:lastPrinted>
  <dcterms:created xsi:type="dcterms:W3CDTF">2022-04-20T16:57:00Z</dcterms:created>
  <dcterms:modified xsi:type="dcterms:W3CDTF">2022-04-28T17:48:00Z</dcterms:modified>
</cp:coreProperties>
</file>