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7F45" w14:textId="77777777" w:rsidR="00362C8A" w:rsidRDefault="00362C8A" w:rsidP="008D2FAD">
      <w:pPr>
        <w:ind w:left="-810" w:firstLine="810"/>
      </w:pPr>
    </w:p>
    <w:p w14:paraId="58F14212" w14:textId="77777777" w:rsidR="00362C8A" w:rsidRDefault="00362C8A" w:rsidP="00362C8A"/>
    <w:p w14:paraId="3A809BBC" w14:textId="77777777" w:rsidR="00362C8A" w:rsidRDefault="00362C8A" w:rsidP="008D2FAD">
      <w:pPr>
        <w:ind w:left="-1080" w:hanging="360"/>
      </w:pPr>
      <w:r>
        <w:rPr>
          <w:noProof/>
          <w:lang w:val="en-CA" w:eastAsia="en-CA" w:bidi="ar-SA"/>
        </w:rPr>
        <w:drawing>
          <wp:inline distT="0" distB="0" distL="0" distR="0" wp14:anchorId="60AF1E53" wp14:editId="392B2FFE">
            <wp:extent cx="7258050" cy="4019550"/>
            <wp:effectExtent l="19050" t="0" r="0" b="0"/>
            <wp:docPr id="6" name="Picture 3" descr="M:\CQP (CIRP Qualification Program)\CQP Logos\People Images\Mai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QP (CIRP Qualification Program)\CQP Logos\People Images\MainImage.jpg"/>
                    <pic:cNvPicPr>
                      <a:picLocks noChangeAspect="1" noChangeArrowheads="1"/>
                    </pic:cNvPicPr>
                  </pic:nvPicPr>
                  <pic:blipFill>
                    <a:blip r:embed="rId8" cstate="print"/>
                    <a:srcRect/>
                    <a:stretch>
                      <a:fillRect/>
                    </a:stretch>
                  </pic:blipFill>
                  <pic:spPr bwMode="auto">
                    <a:xfrm>
                      <a:off x="0" y="0"/>
                      <a:ext cx="7258050" cy="4019550"/>
                    </a:xfrm>
                    <a:prstGeom prst="rect">
                      <a:avLst/>
                    </a:prstGeom>
                    <a:noFill/>
                    <a:ln w="9525">
                      <a:noFill/>
                      <a:miter lim="800000"/>
                      <a:headEnd/>
                      <a:tailEnd/>
                    </a:ln>
                  </pic:spPr>
                </pic:pic>
              </a:graphicData>
            </a:graphic>
          </wp:inline>
        </w:drawing>
      </w:r>
    </w:p>
    <w:p w14:paraId="72E3440D" w14:textId="77777777" w:rsidR="00362C8A" w:rsidRDefault="00362C8A" w:rsidP="00362C8A"/>
    <w:p w14:paraId="13B68EE0" w14:textId="77777777" w:rsidR="00362C8A" w:rsidRDefault="00362C8A" w:rsidP="00362C8A"/>
    <w:p w14:paraId="5D93ED6E" w14:textId="77777777" w:rsidR="00362C8A" w:rsidRPr="009D4622" w:rsidRDefault="00362C8A" w:rsidP="00362C8A">
      <w:pPr>
        <w:rPr>
          <w:rFonts w:cs="Arial"/>
          <w:b/>
          <w:color w:val="004270"/>
          <w:sz w:val="40"/>
          <w:szCs w:val="40"/>
        </w:rPr>
      </w:pPr>
      <w:r w:rsidRPr="009D4622">
        <w:rPr>
          <w:rFonts w:cs="Arial"/>
          <w:b/>
          <w:color w:val="004270"/>
          <w:sz w:val="40"/>
          <w:szCs w:val="40"/>
        </w:rPr>
        <w:t>CIRP Qualification Program</w:t>
      </w:r>
    </w:p>
    <w:p w14:paraId="0F088ECC" w14:textId="77777777" w:rsidR="00362C8A" w:rsidRPr="009D4622" w:rsidRDefault="00362C8A" w:rsidP="00362C8A">
      <w:pPr>
        <w:rPr>
          <w:rFonts w:cs="Arial"/>
          <w:b/>
          <w:color w:val="004270"/>
          <w:sz w:val="40"/>
          <w:szCs w:val="40"/>
        </w:rPr>
      </w:pPr>
      <w:r w:rsidRPr="009D4622">
        <w:rPr>
          <w:rFonts w:cs="Arial"/>
          <w:b/>
          <w:color w:val="004270"/>
          <w:sz w:val="40"/>
          <w:szCs w:val="40"/>
        </w:rPr>
        <w:t>Body of Knowledge</w:t>
      </w:r>
    </w:p>
    <w:p w14:paraId="565AE8EC" w14:textId="77777777" w:rsidR="00362C8A" w:rsidRPr="009D4622" w:rsidRDefault="00362C8A" w:rsidP="00362C8A">
      <w:pPr>
        <w:rPr>
          <w:b/>
          <w:color w:val="004270"/>
        </w:rPr>
      </w:pPr>
    </w:p>
    <w:p w14:paraId="78A68424" w14:textId="6DEAD670" w:rsidR="00362C8A" w:rsidRPr="009D4622" w:rsidRDefault="001D7DE9" w:rsidP="00362C8A">
      <w:pPr>
        <w:rPr>
          <w:rFonts w:cs="Arial"/>
          <w:b/>
          <w:color w:val="004270"/>
          <w:sz w:val="28"/>
          <w:szCs w:val="28"/>
        </w:rPr>
      </w:pPr>
      <w:r>
        <w:rPr>
          <w:rFonts w:cs="Arial"/>
          <w:b/>
          <w:color w:val="004270"/>
          <w:sz w:val="28"/>
          <w:szCs w:val="28"/>
        </w:rPr>
        <w:t>April 2022</w:t>
      </w:r>
      <w:r w:rsidR="000911B0">
        <w:rPr>
          <w:rFonts w:cs="Arial"/>
          <w:b/>
          <w:color w:val="004270"/>
          <w:sz w:val="28"/>
          <w:szCs w:val="28"/>
        </w:rPr>
        <w:t xml:space="preserve"> </w:t>
      </w:r>
      <w:r w:rsidR="00EE2ABD">
        <w:rPr>
          <w:rFonts w:cs="Arial"/>
          <w:b/>
          <w:color w:val="004270"/>
          <w:sz w:val="28"/>
          <w:szCs w:val="28"/>
        </w:rPr>
        <w:t>Edition</w:t>
      </w:r>
    </w:p>
    <w:p w14:paraId="27285430" w14:textId="77777777" w:rsidR="00362C8A" w:rsidRDefault="00362C8A" w:rsidP="00D56998">
      <w:pPr>
        <w:pStyle w:val="Heading1"/>
        <w:numPr>
          <w:ilvl w:val="0"/>
          <w:numId w:val="0"/>
        </w:numPr>
        <w:ind w:left="360" w:hanging="360"/>
      </w:pPr>
    </w:p>
    <w:p w14:paraId="513279B2" w14:textId="77777777" w:rsidR="00362C8A" w:rsidRDefault="00362C8A" w:rsidP="00D56998">
      <w:pPr>
        <w:pStyle w:val="Heading1"/>
        <w:numPr>
          <w:ilvl w:val="0"/>
          <w:numId w:val="0"/>
        </w:numPr>
        <w:ind w:left="360" w:hanging="360"/>
      </w:pPr>
    </w:p>
    <w:p w14:paraId="18738DB7" w14:textId="77777777" w:rsidR="00B36C64" w:rsidRDefault="00B36C64" w:rsidP="00E66AB9">
      <w:pPr>
        <w:pStyle w:val="Heading1"/>
        <w:numPr>
          <w:ilvl w:val="0"/>
          <w:numId w:val="0"/>
        </w:numPr>
        <w:spacing w:after="480"/>
        <w:ind w:left="360" w:hanging="360"/>
      </w:pPr>
      <w:r w:rsidRPr="00523159">
        <w:lastRenderedPageBreak/>
        <w:t xml:space="preserve">BODY OF KNOWLEDGE </w:t>
      </w:r>
    </w:p>
    <w:p w14:paraId="2410561C" w14:textId="77777777" w:rsidR="00B36C64" w:rsidRDefault="00B36C64" w:rsidP="00D56998">
      <w:pPr>
        <w:pStyle w:val="BodyText"/>
      </w:pPr>
      <w:r>
        <w:t>The content of the Body of Knowledge has been developed in order to provide the candidate with a reference base for all testable subject matter based on the competency profile. Candidates should ensure familiarity with all of the material referred to in the Body of Knowledge, building on this knowledge while proceeding through the program.</w:t>
      </w:r>
    </w:p>
    <w:p w14:paraId="21C44598" w14:textId="77777777" w:rsidR="00B36C64" w:rsidRDefault="008F47F4" w:rsidP="00E66AB9">
      <w:pPr>
        <w:pStyle w:val="Appendixtopic"/>
        <w:spacing w:before="360" w:after="240"/>
      </w:pPr>
      <w:r>
        <w:t>CIRP Qualification Program Course</w:t>
      </w:r>
      <w:r w:rsidR="003B5726">
        <w:t xml:space="preserve"> Materials</w:t>
      </w:r>
    </w:p>
    <w:p w14:paraId="01AE8E65" w14:textId="77777777" w:rsidR="00B36C64" w:rsidRDefault="00B36C64" w:rsidP="00D82B6E">
      <w:pPr>
        <w:pStyle w:val="BodyIndent"/>
      </w:pPr>
      <w:r>
        <w:t>Introductory Course</w:t>
      </w:r>
    </w:p>
    <w:p w14:paraId="209978AF" w14:textId="77777777" w:rsidR="00B36C64" w:rsidRDefault="00B36C64" w:rsidP="00D82B6E">
      <w:pPr>
        <w:pStyle w:val="BodyIndent"/>
      </w:pPr>
      <w:r>
        <w:t>Core Knowledge Course</w:t>
      </w:r>
    </w:p>
    <w:p w14:paraId="3AB789B3" w14:textId="77777777" w:rsidR="00B36C64" w:rsidRDefault="00B36C64" w:rsidP="00D82B6E">
      <w:pPr>
        <w:pStyle w:val="BodyIndent"/>
      </w:pPr>
      <w:r>
        <w:t>Applied Knowledge Course</w:t>
      </w:r>
    </w:p>
    <w:p w14:paraId="2E2A6461" w14:textId="3A4F8FE8" w:rsidR="00B36C64" w:rsidRDefault="00D06EDE" w:rsidP="00D82B6E">
      <w:pPr>
        <w:pStyle w:val="BodyIndent"/>
      </w:pPr>
      <w:r>
        <w:t>Practical Course on Insolvency Counselling</w:t>
      </w:r>
    </w:p>
    <w:p w14:paraId="2B59BA9A" w14:textId="77777777" w:rsidR="00B36C64" w:rsidRDefault="00B36C64" w:rsidP="00E66AB9">
      <w:pPr>
        <w:pStyle w:val="Appendixtopic"/>
        <w:spacing w:before="360" w:after="240"/>
      </w:pPr>
      <w:r>
        <w:t>Pertinent Legisla</w:t>
      </w:r>
      <w:r w:rsidR="003B5726">
        <w:t>tion</w:t>
      </w:r>
      <w:r w:rsidR="00DC5EB3">
        <w:t xml:space="preserve"> and </w:t>
      </w:r>
      <w:r w:rsidR="000F3441">
        <w:t>R</w:t>
      </w:r>
      <w:r w:rsidR="00DC5EB3">
        <w:t xml:space="preserve">elated </w:t>
      </w:r>
      <w:r w:rsidR="000F3441">
        <w:t>R</w:t>
      </w:r>
      <w:r w:rsidR="00DC5EB3">
        <w:t>egulations</w:t>
      </w:r>
    </w:p>
    <w:p w14:paraId="2C5865DC" w14:textId="77777777" w:rsidR="00B36C64" w:rsidRPr="00063FE7" w:rsidRDefault="00F35675" w:rsidP="00D82B6E">
      <w:pPr>
        <w:pStyle w:val="BodyIndent"/>
      </w:pPr>
      <w:hyperlink r:id="rId9" w:history="1">
        <w:r w:rsidR="00B36C64" w:rsidRPr="00A85EB2">
          <w:rPr>
            <w:rStyle w:val="Hyperlink"/>
          </w:rPr>
          <w:t>Bankruptcy and Insolvency Act</w:t>
        </w:r>
      </w:hyperlink>
      <w:r w:rsidR="00B36C64">
        <w:t xml:space="preserve"> (BIA) </w:t>
      </w:r>
    </w:p>
    <w:p w14:paraId="56488070" w14:textId="77777777" w:rsidR="00B36C64" w:rsidRDefault="00F35675" w:rsidP="00D82B6E">
      <w:pPr>
        <w:pStyle w:val="BodyIndent"/>
      </w:pPr>
      <w:hyperlink r:id="rId10" w:history="1">
        <w:r w:rsidR="00B36C64" w:rsidRPr="00A85EB2">
          <w:rPr>
            <w:rStyle w:val="Hyperlink"/>
          </w:rPr>
          <w:t>Wage Earner Protection Program Act</w:t>
        </w:r>
      </w:hyperlink>
      <w:r w:rsidR="00B36C64">
        <w:t xml:space="preserve"> (WEPPA)</w:t>
      </w:r>
    </w:p>
    <w:p w14:paraId="36742886" w14:textId="77777777" w:rsidR="00B36C64" w:rsidRDefault="00F35675" w:rsidP="00D82B6E">
      <w:pPr>
        <w:pStyle w:val="BodyIndent"/>
      </w:pPr>
      <w:hyperlink r:id="rId11" w:history="1">
        <w:r w:rsidR="00B36C64" w:rsidRPr="00B42BFB">
          <w:rPr>
            <w:rStyle w:val="Hyperlink"/>
          </w:rPr>
          <w:t>Companies’ Creditors Arrangement Act</w:t>
        </w:r>
      </w:hyperlink>
      <w:r w:rsidR="00B36C64">
        <w:t xml:space="preserve"> (CCAA) </w:t>
      </w:r>
    </w:p>
    <w:p w14:paraId="21435C5F" w14:textId="77777777" w:rsidR="00B36C64" w:rsidRDefault="00B36C64" w:rsidP="00D82B6E">
      <w:pPr>
        <w:pStyle w:val="BodyIndent"/>
      </w:pPr>
      <w:r w:rsidRPr="00EB78DE">
        <w:t xml:space="preserve">Relevant portions of the </w:t>
      </w:r>
      <w:hyperlink r:id="rId12" w:history="1">
        <w:r w:rsidRPr="00EB78DE">
          <w:rPr>
            <w:rStyle w:val="Hyperlink"/>
          </w:rPr>
          <w:t>Winding Up and Restructuring Act</w:t>
        </w:r>
      </w:hyperlink>
      <w:r>
        <w:t xml:space="preserve"> (WURA)</w:t>
      </w:r>
    </w:p>
    <w:p w14:paraId="303B6B20" w14:textId="77777777" w:rsidR="00B36C64" w:rsidRDefault="00B36C64" w:rsidP="00D82B6E">
      <w:pPr>
        <w:pStyle w:val="BodyIndent"/>
      </w:pPr>
      <w:r w:rsidRPr="00EB78DE">
        <w:t xml:space="preserve">Relevant portions of the </w:t>
      </w:r>
      <w:hyperlink r:id="rId13" w:history="1">
        <w:r w:rsidRPr="00EB78DE">
          <w:rPr>
            <w:rStyle w:val="Hyperlink"/>
          </w:rPr>
          <w:t>Canada Business Corporations Act</w:t>
        </w:r>
      </w:hyperlink>
      <w:r>
        <w:t xml:space="preserve"> (CBCA)</w:t>
      </w:r>
    </w:p>
    <w:p w14:paraId="72897075" w14:textId="77777777" w:rsidR="00B36C64" w:rsidRPr="009C7B10" w:rsidRDefault="00B36C64" w:rsidP="00D82B6E">
      <w:pPr>
        <w:pStyle w:val="BodyIndent"/>
      </w:pPr>
      <w:r w:rsidRPr="00983995">
        <w:t>Relevant portions of various tax acts</w:t>
      </w:r>
      <w:r>
        <w:t xml:space="preserve"> such as the </w:t>
      </w:r>
      <w:hyperlink r:id="rId14" w:history="1">
        <w:r w:rsidRPr="00983995">
          <w:rPr>
            <w:rStyle w:val="Hyperlink"/>
          </w:rPr>
          <w:t>Income Tax Act</w:t>
        </w:r>
      </w:hyperlink>
      <w:r>
        <w:t xml:space="preserve"> (ITA) the. </w:t>
      </w:r>
      <w:hyperlink r:id="rId15" w:history="1">
        <w:r w:rsidRPr="00983995">
          <w:rPr>
            <w:rStyle w:val="Hyperlink"/>
          </w:rPr>
          <w:t>Excise Tax Act</w:t>
        </w:r>
      </w:hyperlink>
      <w:r>
        <w:t xml:space="preserve"> </w:t>
      </w:r>
      <w:r w:rsidRPr="009C7B10">
        <w:t>(ETA)</w:t>
      </w:r>
    </w:p>
    <w:p w14:paraId="1DAC1D6F" w14:textId="77777777" w:rsidR="00B36C64" w:rsidRDefault="00F35675" w:rsidP="00D82B6E">
      <w:pPr>
        <w:pStyle w:val="BodyIndent"/>
      </w:pPr>
      <w:hyperlink r:id="rId16" w:history="1">
        <w:r w:rsidR="00B36C64" w:rsidRPr="007D6515">
          <w:rPr>
            <w:rStyle w:val="Hyperlink"/>
          </w:rPr>
          <w:t>Personal Information Protection and Electronic Documents Act</w:t>
        </w:r>
      </w:hyperlink>
      <w:r w:rsidR="00B36C64">
        <w:t xml:space="preserve"> (PIPEDA)</w:t>
      </w:r>
    </w:p>
    <w:p w14:paraId="6EF1F893" w14:textId="77777777" w:rsidR="00B36C64" w:rsidRDefault="00B36C64" w:rsidP="00D82B6E">
      <w:pPr>
        <w:pStyle w:val="BodyIndent"/>
      </w:pPr>
      <w:r w:rsidRPr="00983995">
        <w:t xml:space="preserve">Relevant portions of the </w:t>
      </w:r>
      <w:hyperlink r:id="rId17" w:history="1">
        <w:r w:rsidR="00D82B6E" w:rsidRPr="00FA0452">
          <w:rPr>
            <w:rStyle w:val="Hyperlink"/>
          </w:rPr>
          <w:t>Bank Act</w:t>
        </w:r>
      </w:hyperlink>
    </w:p>
    <w:p w14:paraId="53DA03A8" w14:textId="77777777" w:rsidR="00B36C64" w:rsidRDefault="00F35675" w:rsidP="00D82B6E">
      <w:pPr>
        <w:pStyle w:val="BodyIndent"/>
      </w:pPr>
      <w:hyperlink r:id="rId18" w:history="1">
        <w:r w:rsidR="00B36C64" w:rsidRPr="00983995">
          <w:rPr>
            <w:rStyle w:val="Hyperlink"/>
          </w:rPr>
          <w:t>Farm Debt Mediation Act</w:t>
        </w:r>
      </w:hyperlink>
      <w:r w:rsidR="00B36C64">
        <w:t xml:space="preserve"> (FMDA)</w:t>
      </w:r>
    </w:p>
    <w:p w14:paraId="6DCB1F5E" w14:textId="77777777" w:rsidR="00D82B6E" w:rsidRDefault="00B36C64" w:rsidP="00D82B6E">
      <w:pPr>
        <w:pStyle w:val="BodyIndent"/>
      </w:pPr>
      <w:r w:rsidRPr="00475F1B">
        <w:t xml:space="preserve">Relevant portions </w:t>
      </w:r>
      <w:r w:rsidRPr="00EA4162">
        <w:t xml:space="preserve">of </w:t>
      </w:r>
      <w:r>
        <w:t>other</w:t>
      </w:r>
      <w:r w:rsidRPr="00E44FD6">
        <w:t xml:space="preserve"> </w:t>
      </w:r>
      <w:r>
        <w:t>federal or</w:t>
      </w:r>
      <w:r w:rsidRPr="00475F1B">
        <w:t xml:space="preserve"> </w:t>
      </w:r>
      <w:r>
        <w:t xml:space="preserve">provincial legislation referred to in </w:t>
      </w:r>
      <w:r w:rsidRPr="009C7B10">
        <w:t xml:space="preserve">the </w:t>
      </w:r>
      <w:r w:rsidRPr="00C55F62">
        <w:t>course notes</w:t>
      </w:r>
    </w:p>
    <w:p w14:paraId="247F4319" w14:textId="77777777" w:rsidR="00DC5EB3" w:rsidRDefault="00C55F62" w:rsidP="00DC5EB3">
      <w:pPr>
        <w:pStyle w:val="BodyIndent"/>
      </w:pPr>
      <w:r>
        <w:t>Relevan</w:t>
      </w:r>
      <w:r w:rsidR="00B36C64" w:rsidRPr="00983995">
        <w:t xml:space="preserve">t portions of the </w:t>
      </w:r>
      <w:hyperlink r:id="rId19" w:history="1">
        <w:r w:rsidR="00B36C64" w:rsidRPr="00983995">
          <w:rPr>
            <w:rStyle w:val="Hyperlink"/>
          </w:rPr>
          <w:t>U.S. Bankruptcy Code</w:t>
        </w:r>
      </w:hyperlink>
    </w:p>
    <w:p w14:paraId="413DE9ED" w14:textId="77777777" w:rsidR="005F1613" w:rsidRPr="00D82B6E" w:rsidRDefault="005F1613" w:rsidP="00DC5EB3">
      <w:pPr>
        <w:pStyle w:val="BodyIndent"/>
      </w:pPr>
      <w:r>
        <w:t xml:space="preserve">Quebec Business Corporations Act </w:t>
      </w:r>
    </w:p>
    <w:p w14:paraId="7F440CC0" w14:textId="77777777" w:rsidR="00E66AB9" w:rsidRDefault="00E66AB9" w:rsidP="00E66AB9">
      <w:pPr>
        <w:pStyle w:val="Appendixtopic"/>
        <w:spacing w:before="480" w:after="240"/>
      </w:pPr>
    </w:p>
    <w:p w14:paraId="70AA11EA" w14:textId="77777777" w:rsidR="00A73FE2" w:rsidRPr="00711802" w:rsidRDefault="00C829AE" w:rsidP="00711802">
      <w:pPr>
        <w:pStyle w:val="BodyIndent"/>
        <w:numPr>
          <w:ilvl w:val="0"/>
          <w:numId w:val="0"/>
        </w:numPr>
      </w:pPr>
      <w:r w:rsidRPr="00E66AB9">
        <w:rPr>
          <w:rFonts w:eastAsia="SimSun" w:cs="Times New Roman"/>
          <w:color w:val="004270"/>
          <w:sz w:val="24"/>
          <w:szCs w:val="24"/>
        </w:rPr>
        <w:t>Authorities and Jurisprudence</w:t>
      </w:r>
    </w:p>
    <w:p w14:paraId="477E3B10" w14:textId="77777777" w:rsidR="00A73FE2" w:rsidRDefault="00A73FE2" w:rsidP="00711802">
      <w:pPr>
        <w:pStyle w:val="ListParagraph"/>
      </w:pPr>
    </w:p>
    <w:p w14:paraId="50ACB4CC" w14:textId="77777777" w:rsidR="00B34DA3" w:rsidRDefault="00B36C64" w:rsidP="00B34DA3">
      <w:pPr>
        <w:pStyle w:val="BodyIndent"/>
      </w:pPr>
      <w:r w:rsidRPr="009C7B10">
        <w:t>The</w:t>
      </w:r>
      <w:r>
        <w:t xml:space="preserve"> latest version of the </w:t>
      </w:r>
      <w:r w:rsidRPr="00B5079A">
        <w:rPr>
          <w:u w:val="single"/>
        </w:rPr>
        <w:t>Annotated Bankruptcy and Insolvency Act</w:t>
      </w:r>
      <w:r>
        <w:t xml:space="preserve">. Lloyd W. Houlden, Geoffrey B. Morawetz and Janis P. Sarra ed. Thomson Carswell </w:t>
      </w:r>
      <w:r w:rsidRPr="00C55F62">
        <w:t>publ.</w:t>
      </w:r>
    </w:p>
    <w:p w14:paraId="0CA0C3BD" w14:textId="77777777" w:rsidR="00B34DA3" w:rsidRDefault="00B36C64" w:rsidP="00B34DA3">
      <w:pPr>
        <w:pStyle w:val="BodyIndent"/>
      </w:pPr>
      <w:r w:rsidRPr="00C55F62">
        <w:t>T</w:t>
      </w:r>
      <w:r w:rsidRPr="009C7B10">
        <w:t xml:space="preserve">he latest version </w:t>
      </w:r>
      <w:r w:rsidRPr="00B5079A">
        <w:t xml:space="preserve">of </w:t>
      </w:r>
      <w:r w:rsidRPr="00B5079A">
        <w:rPr>
          <w:u w:val="single"/>
        </w:rPr>
        <w:t>Législation canadienne en faillite et insolvabilité / Canadian Legislation on Bankruptcy and Insolvency</w:t>
      </w:r>
      <w:r w:rsidRPr="009C7B10">
        <w:t xml:space="preserve">. Bernard </w:t>
      </w:r>
      <w:r>
        <w:t>B</w:t>
      </w:r>
      <w:r w:rsidRPr="009C7B10">
        <w:t xml:space="preserve">oucher </w:t>
      </w:r>
      <w:r>
        <w:t>et</w:t>
      </w:r>
      <w:r w:rsidRPr="009C7B10">
        <w:t xml:space="preserve"> Yean-Yves Fortin ed. Thomson Carswell, publ.</w:t>
      </w:r>
    </w:p>
    <w:p w14:paraId="0E81E408" w14:textId="77777777" w:rsidR="00DC5EB3" w:rsidRDefault="00B36C64" w:rsidP="00DC5EB3">
      <w:pPr>
        <w:pStyle w:val="BodyIndent"/>
      </w:pPr>
      <w:r>
        <w:t>All jurisprudence up to January of the year the candidate writes one of the CQP exams, as referenced, for example, in the Houlden &amp; Morawetz Newsletters or the Carswell Canadian Bankruptcy Reports</w:t>
      </w:r>
    </w:p>
    <w:p w14:paraId="2815CD7E" w14:textId="77777777" w:rsidR="00237033" w:rsidRPr="00A65592" w:rsidRDefault="00237033" w:rsidP="00237033">
      <w:pPr>
        <w:pStyle w:val="BodyIndent"/>
        <w:rPr>
          <w:i/>
          <w:iCs/>
          <w:lang w:val="fr-CA"/>
        </w:rPr>
      </w:pPr>
      <w:r w:rsidRPr="00521530">
        <w:rPr>
          <w:lang w:val="fr-CA"/>
        </w:rPr>
        <w:t xml:space="preserve">La faillite et l'insolvabilité au Québec, 2e éd. </w:t>
      </w:r>
      <w:r>
        <w:rPr>
          <w:lang w:val="fr-CA"/>
        </w:rPr>
        <w:t>Jacques Deslauriers. 2011. Wilson et Lafleur, publ.</w:t>
      </w:r>
    </w:p>
    <w:p w14:paraId="6779124B" w14:textId="77777777" w:rsidR="00CA4BE2" w:rsidRDefault="00DC5EB3" w:rsidP="00E66AB9">
      <w:pPr>
        <w:pStyle w:val="Appendixtopic"/>
        <w:spacing w:before="360" w:after="240"/>
      </w:pPr>
      <w:r>
        <w:t xml:space="preserve">Regulatory </w:t>
      </w:r>
      <w:r w:rsidR="000F3441">
        <w:t>M</w:t>
      </w:r>
      <w:r>
        <w:t>aterial</w:t>
      </w:r>
    </w:p>
    <w:p w14:paraId="2ABFB7F1" w14:textId="77777777" w:rsidR="00DC5EB3" w:rsidRPr="00B34DA3" w:rsidRDefault="00DC5EB3" w:rsidP="00DC5EB3">
      <w:pPr>
        <w:pStyle w:val="BodyIndent"/>
      </w:pPr>
      <w:r>
        <w:t xml:space="preserve">All </w:t>
      </w:r>
      <w:hyperlink r:id="rId20" w:history="1">
        <w:r w:rsidRPr="00983995">
          <w:rPr>
            <w:rStyle w:val="Hyperlink"/>
          </w:rPr>
          <w:t>Office of the Superintendent</w:t>
        </w:r>
      </w:hyperlink>
      <w:r>
        <w:t xml:space="preserve"> (OSB) Directives, Forms, Circulars, Position Papers, etc.</w:t>
      </w:r>
    </w:p>
    <w:p w14:paraId="18005339" w14:textId="77777777" w:rsidR="00B36C64" w:rsidRDefault="00B36C64" w:rsidP="00E66AB9">
      <w:pPr>
        <w:pStyle w:val="Appendixtopic"/>
        <w:spacing w:before="360" w:after="240"/>
      </w:pPr>
      <w:r>
        <w:t>CAIRP Professional Guidelines</w:t>
      </w:r>
    </w:p>
    <w:p w14:paraId="5F856DCC" w14:textId="72F022ED" w:rsidR="00B36C64" w:rsidRPr="00C03083" w:rsidRDefault="00F35675" w:rsidP="00B34DA3">
      <w:pPr>
        <w:pStyle w:val="BodyIndent"/>
      </w:pPr>
      <w:hyperlink r:id="rId21" w:history="1">
        <w:r w:rsidR="00B36C64" w:rsidRPr="00BF303B">
          <w:rPr>
            <w:rStyle w:val="Hyperlink"/>
          </w:rPr>
          <w:t>Rules of Professional Conduct</w:t>
        </w:r>
      </w:hyperlink>
      <w:r w:rsidR="00B36C64" w:rsidRPr="00C03083">
        <w:t xml:space="preserve"> </w:t>
      </w:r>
    </w:p>
    <w:p w14:paraId="1CD21EE0" w14:textId="41A18486" w:rsidR="00E66AB9" w:rsidRDefault="00F35675" w:rsidP="00B34DA3">
      <w:pPr>
        <w:pStyle w:val="BodyIndent"/>
      </w:pPr>
      <w:hyperlink r:id="rId22" w:history="1">
        <w:r w:rsidR="00B36C64" w:rsidRPr="00BF303B">
          <w:rPr>
            <w:rStyle w:val="Hyperlink"/>
          </w:rPr>
          <w:t>Standards of Professional Practice</w:t>
        </w:r>
      </w:hyperlink>
      <w:r w:rsidR="00B36C64">
        <w:t xml:space="preserve"> </w:t>
      </w:r>
    </w:p>
    <w:p w14:paraId="43F74334" w14:textId="5783859C" w:rsidR="00B36C64" w:rsidRPr="00BA6B1E" w:rsidRDefault="00BA6B1E" w:rsidP="00B34DA3">
      <w:pPr>
        <w:pStyle w:val="BodyIndent"/>
        <w:rPr>
          <w:rStyle w:val="Hyperlink"/>
        </w:rPr>
      </w:pPr>
      <w:r>
        <w:fldChar w:fldCharType="begin"/>
      </w:r>
      <w:r>
        <w:instrText xml:space="preserve"> HYPERLINK "https://cairp.ca/_Library/AGM_2021/CAIRP_Bylaws_ENG_-_Updated_Sep_2021.pdf" </w:instrText>
      </w:r>
      <w:r>
        <w:fldChar w:fldCharType="separate"/>
      </w:r>
      <w:r w:rsidR="00B36C64" w:rsidRPr="00BA6B1E">
        <w:rPr>
          <w:rStyle w:val="Hyperlink"/>
        </w:rPr>
        <w:t>Bylaws</w:t>
      </w:r>
      <w:r w:rsidR="00B34DA3" w:rsidRPr="00BA6B1E">
        <w:rPr>
          <w:rStyle w:val="Hyperlink"/>
        </w:rPr>
        <w:t xml:space="preserve"> </w:t>
      </w:r>
    </w:p>
    <w:p w14:paraId="7FD9F4D5" w14:textId="129A331F" w:rsidR="00B36C64" w:rsidRDefault="00BA6B1E" w:rsidP="00E66AB9">
      <w:pPr>
        <w:pStyle w:val="Appendixtopic"/>
        <w:spacing w:before="360" w:after="240"/>
      </w:pPr>
      <w:r>
        <w:rPr>
          <w:rFonts w:eastAsiaTheme="minorEastAsia" w:cstheme="minorBidi"/>
          <w:color w:val="auto"/>
          <w:sz w:val="22"/>
          <w:szCs w:val="22"/>
        </w:rPr>
        <w:fldChar w:fldCharType="end"/>
      </w:r>
      <w:r w:rsidR="00440BBD">
        <w:t xml:space="preserve">Professional </w:t>
      </w:r>
      <w:r w:rsidR="000F3441">
        <w:t>L</w:t>
      </w:r>
      <w:r w:rsidR="00DD44B8">
        <w:t>iterature</w:t>
      </w:r>
    </w:p>
    <w:p w14:paraId="67929280" w14:textId="77777777" w:rsidR="000F3441" w:rsidRDefault="00F35675" w:rsidP="00B34DA3">
      <w:pPr>
        <w:pStyle w:val="BodyIndent"/>
      </w:pPr>
      <w:hyperlink r:id="rId23" w:history="1">
        <w:r w:rsidR="00B36C64" w:rsidRPr="005575B9">
          <w:rPr>
            <w:rStyle w:val="Hyperlink"/>
          </w:rPr>
          <w:t>Bulletins</w:t>
        </w:r>
      </w:hyperlink>
      <w:r w:rsidR="00B00EAF">
        <w:t xml:space="preserve"> for the previous 2</w:t>
      </w:r>
      <w:r w:rsidR="00B36C64">
        <w:t xml:space="preserve"> years </w:t>
      </w:r>
    </w:p>
    <w:p w14:paraId="7D0B33E7" w14:textId="77777777" w:rsidR="00B36C64" w:rsidRDefault="00F35675" w:rsidP="00B34DA3">
      <w:pPr>
        <w:pStyle w:val="BodyIndent"/>
      </w:pPr>
      <w:hyperlink r:id="rId24" w:history="1">
        <w:r w:rsidR="00B36C64" w:rsidRPr="0070651B">
          <w:rPr>
            <w:rStyle w:val="Hyperlink"/>
          </w:rPr>
          <w:t>Rebuilding Success Magazine</w:t>
        </w:r>
      </w:hyperlink>
      <w:r w:rsidR="00B00EAF">
        <w:t xml:space="preserve"> for the previous 2</w:t>
      </w:r>
      <w:r w:rsidR="00B36C64">
        <w:t xml:space="preserve"> years</w:t>
      </w:r>
    </w:p>
    <w:p w14:paraId="31D32B57" w14:textId="0C7B66EB" w:rsidR="00A73FE2" w:rsidRDefault="00F35675">
      <w:pPr>
        <w:pStyle w:val="BodyIndent"/>
      </w:pPr>
      <w:hyperlink r:id="rId25" w:history="1">
        <w:r w:rsidR="00440BBD" w:rsidRPr="000F3441">
          <w:rPr>
            <w:rStyle w:val="Hyperlink"/>
          </w:rPr>
          <w:t>Members’ articles</w:t>
        </w:r>
      </w:hyperlink>
      <w:r w:rsidR="00440BBD">
        <w:t xml:space="preserve"> posted on CAIRP’s website</w:t>
      </w:r>
    </w:p>
    <w:p w14:paraId="0D327D5A" w14:textId="6B9CBD9D" w:rsidR="009D4622" w:rsidRDefault="00F35675" w:rsidP="009D4622">
      <w:pPr>
        <w:pStyle w:val="BodyIndent"/>
      </w:pPr>
      <w:hyperlink r:id="rId26" w:history="1">
        <w:r w:rsidR="00A73FE2" w:rsidRPr="00EB6659">
          <w:rPr>
            <w:rStyle w:val="Hyperlink"/>
          </w:rPr>
          <w:t>Annual Review of Insolvency Law</w:t>
        </w:r>
      </w:hyperlink>
      <w:r w:rsidR="00A73FE2">
        <w:t xml:space="preserve">. </w:t>
      </w:r>
      <w:r w:rsidR="002801EC">
        <w:t xml:space="preserve">(Under the user licence of </w:t>
      </w:r>
      <w:r w:rsidR="00EB6659">
        <w:t>CanL</w:t>
      </w:r>
      <w:r w:rsidR="002801EC">
        <w:t>II)</w:t>
      </w:r>
      <w:r w:rsidR="00B5079A">
        <w:t>.</w:t>
      </w:r>
      <w:r w:rsidR="008F47F4">
        <w:t xml:space="preserve"> for the previous </w:t>
      </w:r>
      <w:r w:rsidR="00EB6659">
        <w:t>2</w:t>
      </w:r>
      <w:r w:rsidR="008F47F4">
        <w:t xml:space="preserve"> years </w:t>
      </w:r>
      <w:r w:rsidR="009D4622">
        <w:t xml:space="preserve"> </w:t>
      </w:r>
    </w:p>
    <w:p w14:paraId="64FFA9E1" w14:textId="77777777" w:rsidR="00E66AB9" w:rsidRDefault="00E66AB9">
      <w:pPr>
        <w:rPr>
          <w:rFonts w:eastAsia="SimSun" w:cs="Times New Roman"/>
          <w:color w:val="004270"/>
          <w:sz w:val="24"/>
          <w:szCs w:val="24"/>
        </w:rPr>
      </w:pPr>
      <w:r>
        <w:br w:type="page"/>
      </w:r>
    </w:p>
    <w:p w14:paraId="151D3E68" w14:textId="77777777" w:rsidR="00F35675" w:rsidRDefault="00F35675" w:rsidP="00F35675">
      <w:pPr>
        <w:pStyle w:val="Appendixtopic"/>
        <w:spacing w:before="360" w:after="240"/>
      </w:pPr>
    </w:p>
    <w:p w14:paraId="609E5761" w14:textId="582B6DB9" w:rsidR="008530CD" w:rsidRDefault="008530CD" w:rsidP="00F35675">
      <w:pPr>
        <w:pStyle w:val="Appendixtopic"/>
        <w:spacing w:before="360" w:after="240"/>
      </w:pPr>
      <w:r>
        <w:t>Additional Resources</w:t>
      </w:r>
    </w:p>
    <w:p w14:paraId="3CE6FCBC" w14:textId="77777777" w:rsidR="00F35675" w:rsidRPr="00E536A8" w:rsidRDefault="00F35675" w:rsidP="00F35675">
      <w:pPr>
        <w:pStyle w:val="BodyIndent"/>
        <w:numPr>
          <w:ilvl w:val="0"/>
          <w:numId w:val="20"/>
        </w:numPr>
      </w:pPr>
      <w:hyperlink r:id="rId27" w:history="1">
        <w:r w:rsidR="008530CD" w:rsidRPr="00F35675">
          <w:rPr>
            <w:rStyle w:val="Hyperlink"/>
          </w:rPr>
          <w:t>Insolvency Insider</w:t>
        </w:r>
      </w:hyperlink>
      <w:r>
        <w:t xml:space="preserve"> - </w:t>
      </w:r>
      <w:r>
        <w:t>Coverage of the latest Canadian insolvency filings, court cases and news</w:t>
      </w:r>
    </w:p>
    <w:p w14:paraId="09C38A0B" w14:textId="77777777" w:rsidR="00B36C64" w:rsidRDefault="00B36C64" w:rsidP="00E66AB9">
      <w:pPr>
        <w:pStyle w:val="Appendixtopic"/>
        <w:spacing w:before="360" w:after="240"/>
      </w:pPr>
      <w:r>
        <w:t>General Background Learning Requirements</w:t>
      </w:r>
    </w:p>
    <w:p w14:paraId="2D9376AE" w14:textId="77777777" w:rsidR="00B36C64" w:rsidRDefault="00B36C64" w:rsidP="00B34DA3">
      <w:pPr>
        <w:pStyle w:val="BodyIndent"/>
      </w:pPr>
      <w:r>
        <w:t>Accoun</w:t>
      </w:r>
      <w:r w:rsidR="00206194">
        <w:t>ting concepts, as presented in:</w:t>
      </w:r>
    </w:p>
    <w:p w14:paraId="0D3CAAE9" w14:textId="77777777" w:rsidR="00B36C64" w:rsidRDefault="00B36C64" w:rsidP="00B34DA3">
      <w:pPr>
        <w:pStyle w:val="bodyindent2"/>
      </w:pPr>
      <w:r w:rsidRPr="00081DCF">
        <w:rPr>
          <w:u w:val="single"/>
        </w:rPr>
        <w:t>Financial Accounting: Tools for business Decision-Making</w:t>
      </w:r>
      <w:r>
        <w:rPr>
          <w:u w:val="single"/>
        </w:rPr>
        <w:t xml:space="preserve">, </w:t>
      </w:r>
      <w:r w:rsidRPr="00081DCF">
        <w:rPr>
          <w:u w:val="single"/>
        </w:rPr>
        <w:t>4</w:t>
      </w:r>
      <w:r w:rsidRPr="00081DCF">
        <w:rPr>
          <w:u w:val="single"/>
          <w:vertAlign w:val="superscript"/>
        </w:rPr>
        <w:t>th</w:t>
      </w:r>
      <w:r w:rsidRPr="00081DCF">
        <w:rPr>
          <w:u w:val="single"/>
        </w:rPr>
        <w:t xml:space="preserve"> Canadian Edition </w:t>
      </w:r>
      <w:r w:rsidRPr="00081DCF">
        <w:t>(</w:t>
      </w:r>
      <w:r w:rsidRPr="00E536A8">
        <w:t>with Solutions</w:t>
      </w:r>
      <w:r w:rsidRPr="00081DCF">
        <w:t>)</w:t>
      </w:r>
      <w:r>
        <w:t>. Paul D. Kimmel, Jerry J. Wegandt, Donald E. Kieso and Barbara Trenholm. 2009. John Wiley &amp; Sons. ISBN 978-0-470-15535-6</w:t>
      </w:r>
    </w:p>
    <w:p w14:paraId="6B755ADF" w14:textId="77777777" w:rsidR="00B36C64" w:rsidRPr="00081DCF" w:rsidRDefault="00B36C64" w:rsidP="00B34DA3">
      <w:pPr>
        <w:pStyle w:val="bodyindent2"/>
        <w:rPr>
          <w:rFonts w:cs="Arial"/>
          <w:sz w:val="23"/>
          <w:szCs w:val="23"/>
        </w:rPr>
      </w:pPr>
      <w:r w:rsidRPr="001A7EB3">
        <w:rPr>
          <w:u w:val="single"/>
          <w:lang w:val="fr-CA"/>
        </w:rPr>
        <w:t>Le gestionnaire et les états financiers – norm</w:t>
      </w:r>
      <w:r w:rsidR="00440BBD">
        <w:rPr>
          <w:u w:val="single"/>
          <w:lang w:val="fr-CA"/>
        </w:rPr>
        <w:t>e</w:t>
      </w:r>
      <w:r w:rsidRPr="001A7EB3">
        <w:rPr>
          <w:u w:val="single"/>
          <w:lang w:val="fr-CA"/>
        </w:rPr>
        <w:t>s IFRS</w:t>
      </w:r>
      <w:r w:rsidRPr="001A7EB3">
        <w:rPr>
          <w:lang w:val="fr-CA"/>
        </w:rPr>
        <w:t xml:space="preserve">. Louise Martel, Claude Laroche et Johanne Turbide. </w:t>
      </w:r>
      <w:r>
        <w:t>2009. Éditions du Renouveau Péda</w:t>
      </w:r>
      <w:r w:rsidR="00206194">
        <w:t>gogique inc. ISBN 9782761332453</w:t>
      </w:r>
    </w:p>
    <w:p w14:paraId="102C1FFD" w14:textId="77777777" w:rsidR="00B36C64" w:rsidRDefault="00B36C64" w:rsidP="00B34DA3">
      <w:pPr>
        <w:pStyle w:val="bodyindent2"/>
        <w:rPr>
          <w:rFonts w:cs="Arial"/>
          <w:sz w:val="23"/>
          <w:szCs w:val="23"/>
        </w:rPr>
      </w:pPr>
      <w:r w:rsidRPr="00E536A8">
        <w:rPr>
          <w:u w:val="single"/>
        </w:rPr>
        <w:t>Managerial</w:t>
      </w:r>
      <w:r w:rsidRPr="00081DCF">
        <w:rPr>
          <w:u w:val="single"/>
        </w:rPr>
        <w:t xml:space="preserve"> Accounting, 1</w:t>
      </w:r>
      <w:r w:rsidRPr="00081DCF">
        <w:rPr>
          <w:u w:val="single"/>
          <w:vertAlign w:val="superscript"/>
        </w:rPr>
        <w:t>st</w:t>
      </w:r>
      <w:r w:rsidRPr="00E536A8">
        <w:rPr>
          <w:u w:val="single"/>
        </w:rPr>
        <w:t xml:space="preserve"> Canadian </w:t>
      </w:r>
      <w:r w:rsidRPr="00081DCF">
        <w:rPr>
          <w:u w:val="single"/>
        </w:rPr>
        <w:t>Edition</w:t>
      </w:r>
      <w:r>
        <w:t xml:space="preserve">. Ramji Balakrishnan, Konduru Sivaramakrishnan, Geoff Sprinkle, Lynn Carty and Maria Ferraro. 2011. John Wiley &amp; Sons. ISBN </w:t>
      </w:r>
      <w:r w:rsidRPr="00E536A8">
        <w:rPr>
          <w:rFonts w:cs="Arial"/>
          <w:sz w:val="23"/>
          <w:szCs w:val="23"/>
        </w:rPr>
        <w:t>978-0-470-67786-5</w:t>
      </w:r>
    </w:p>
    <w:p w14:paraId="07D3F3DF" w14:textId="77777777" w:rsidR="00B36C64" w:rsidRPr="00081DCF" w:rsidRDefault="00B36C64" w:rsidP="00B34DA3">
      <w:pPr>
        <w:pStyle w:val="bodyindent2"/>
      </w:pPr>
      <w:r w:rsidRPr="001A7EB3">
        <w:rPr>
          <w:u w:val="single"/>
          <w:lang w:val="fr-CA"/>
        </w:rPr>
        <w:t xml:space="preserve">La comptabilité de management. Hugues Boisvert, Claude Laurin, Alexander Mersereau, Marie-Claude Brouillette, Marie-Andrée Caron et Réal Jacques. </w:t>
      </w:r>
      <w:r w:rsidRPr="00081DCF">
        <w:rPr>
          <w:u w:val="single"/>
        </w:rPr>
        <w:t xml:space="preserve">2011. </w:t>
      </w:r>
      <w:r w:rsidRPr="00081DCF">
        <w:t>Éditions du Renouveau Pédagogique inc. ISBN 9782761340045</w:t>
      </w:r>
    </w:p>
    <w:p w14:paraId="693F6603" w14:textId="77777777" w:rsidR="00B36C64" w:rsidRDefault="00B36C64" w:rsidP="00206194">
      <w:pPr>
        <w:pStyle w:val="BodyIndent"/>
      </w:pPr>
      <w:r>
        <w:t>Business law, as presented in:</w:t>
      </w:r>
    </w:p>
    <w:p w14:paraId="40395D2D" w14:textId="77777777" w:rsidR="00B36C64" w:rsidRDefault="00B36C64" w:rsidP="00B34DA3">
      <w:pPr>
        <w:pStyle w:val="bodyindent2"/>
      </w:pPr>
      <w:r w:rsidRPr="00081DCF">
        <w:rPr>
          <w:u w:val="single"/>
        </w:rPr>
        <w:t>The Law and Business Administration in Canada</w:t>
      </w:r>
      <w:r>
        <w:t>. J. E. Smyth, D. A. Soberman, A. J Easson and Shelley Ann McGill. 2010. Pearson Education Canada. ISBN 978-0-13-610903-7</w:t>
      </w:r>
      <w:r w:rsidR="000F586D">
        <w:t xml:space="preserve"> </w:t>
      </w:r>
    </w:p>
    <w:p w14:paraId="73B86A40" w14:textId="77777777" w:rsidR="00B36C64" w:rsidRPr="00E66AB9" w:rsidRDefault="00B36C64" w:rsidP="00B34DA3">
      <w:pPr>
        <w:pStyle w:val="bodyindent2"/>
        <w:rPr>
          <w:lang w:val="fr-CA"/>
        </w:rPr>
      </w:pPr>
      <w:r w:rsidRPr="001A7EB3">
        <w:rPr>
          <w:u w:val="single"/>
          <w:lang w:val="fr-CA"/>
        </w:rPr>
        <w:t>Entreprises, soci</w:t>
      </w:r>
      <w:r w:rsidR="00440BBD">
        <w:rPr>
          <w:u w:val="single"/>
          <w:lang w:val="fr-CA"/>
        </w:rPr>
        <w:t>é</w:t>
      </w:r>
      <w:r w:rsidRPr="001A7EB3">
        <w:rPr>
          <w:u w:val="single"/>
          <w:lang w:val="fr-CA"/>
        </w:rPr>
        <w:t>t</w:t>
      </w:r>
      <w:r w:rsidR="00440BBD">
        <w:rPr>
          <w:u w:val="single"/>
          <w:lang w:val="fr-CA"/>
        </w:rPr>
        <w:t>é</w:t>
      </w:r>
      <w:r w:rsidRPr="001A7EB3">
        <w:rPr>
          <w:u w:val="single"/>
          <w:lang w:val="fr-CA"/>
        </w:rPr>
        <w:t>s et compa</w:t>
      </w:r>
      <w:r w:rsidR="00440BBD">
        <w:rPr>
          <w:u w:val="single"/>
          <w:lang w:val="fr-CA"/>
        </w:rPr>
        <w:t>g</w:t>
      </w:r>
      <w:r w:rsidRPr="001A7EB3">
        <w:rPr>
          <w:u w:val="single"/>
          <w:lang w:val="fr-CA"/>
        </w:rPr>
        <w:t>nies – Collection de droit 2011 – 2012, volume 9</w:t>
      </w:r>
      <w:r w:rsidRPr="001A7EB3">
        <w:rPr>
          <w:lang w:val="fr-CA"/>
        </w:rPr>
        <w:t xml:space="preserve">. </w:t>
      </w:r>
      <w:r w:rsidR="00C829AE" w:rsidRPr="00E66AB9">
        <w:rPr>
          <w:lang w:val="fr-CA"/>
        </w:rPr>
        <w:t xml:space="preserve">Yvon Blais. 2011. Thomson Reuters. ISBN 978-2-89635-587-7 </w:t>
      </w:r>
    </w:p>
    <w:p w14:paraId="04D11077" w14:textId="77777777" w:rsidR="00B36C64" w:rsidRDefault="00B36C64" w:rsidP="00206194">
      <w:pPr>
        <w:pStyle w:val="BodyIndent"/>
      </w:pPr>
      <w:r>
        <w:t>Human resource concepts, as presented in:</w:t>
      </w:r>
    </w:p>
    <w:p w14:paraId="63715868" w14:textId="77777777" w:rsidR="00B36C64" w:rsidRDefault="00B36C64" w:rsidP="00B34DA3">
      <w:pPr>
        <w:pStyle w:val="bodyindent2"/>
      </w:pPr>
      <w:r w:rsidRPr="00081DCF">
        <w:rPr>
          <w:u w:val="single"/>
        </w:rPr>
        <w:t>Fundamentals of Human Resource Management, Canadian Edition</w:t>
      </w:r>
      <w:r>
        <w:t>. Raymond A. Noe, John R. Hollenbeck, Barry Gerhart, Patrick M. Wright and Sandra Steen. 2006. McGraw Hill. ISBN 0070907994</w:t>
      </w:r>
      <w:r w:rsidR="000F586D">
        <w:t xml:space="preserve"> </w:t>
      </w:r>
    </w:p>
    <w:p w14:paraId="0E5969F2" w14:textId="7A10FD3E" w:rsidR="00B36C64" w:rsidRDefault="00B36C64" w:rsidP="00B34DA3">
      <w:pPr>
        <w:pStyle w:val="bodyindent2"/>
      </w:pPr>
      <w:r w:rsidRPr="001A7EB3">
        <w:rPr>
          <w:u w:val="single"/>
          <w:lang w:val="fr-CA"/>
        </w:rPr>
        <w:t>La gestion des ressources humaines – Tendances, enjeux et pratiques actuelles</w:t>
      </w:r>
      <w:r w:rsidRPr="001A7EB3">
        <w:rPr>
          <w:lang w:val="fr-CA"/>
        </w:rPr>
        <w:t xml:space="preserve"> (4e </w:t>
      </w:r>
      <w:r w:rsidR="00440BBD">
        <w:rPr>
          <w:lang w:val="fr-CA"/>
        </w:rPr>
        <w:t>é</w:t>
      </w:r>
      <w:r w:rsidRPr="001A7EB3">
        <w:rPr>
          <w:lang w:val="fr-CA"/>
        </w:rPr>
        <w:t xml:space="preserve">dition). </w:t>
      </w:r>
      <w:r w:rsidRPr="00B36C64">
        <w:rPr>
          <w:lang w:val="fr-CA"/>
        </w:rPr>
        <w:t xml:space="preserve">Shimon L. Dolan, Tania Saba, Susan E. Jackson et Randall S. Schuler. 2008. Éditions du Renouveau Pédagogique inc. </w:t>
      </w:r>
      <w:r>
        <w:t>ISBN 978-2-7613-2192-1</w:t>
      </w:r>
    </w:p>
    <w:p w14:paraId="78D031C6" w14:textId="66127BAD" w:rsidR="008530CD" w:rsidRDefault="008530CD" w:rsidP="008530CD">
      <w:pPr>
        <w:pStyle w:val="bodyindent2"/>
        <w:numPr>
          <w:ilvl w:val="0"/>
          <w:numId w:val="0"/>
        </w:numPr>
        <w:ind w:left="720" w:hanging="360"/>
      </w:pPr>
    </w:p>
    <w:p w14:paraId="17422C6D" w14:textId="77777777" w:rsidR="00B36C64" w:rsidRDefault="00B36C64" w:rsidP="00B36C64">
      <w:pPr>
        <w:ind w:left="1260"/>
      </w:pPr>
    </w:p>
    <w:sectPr w:rsidR="00B36C64" w:rsidSect="008D2FAD">
      <w:headerReference w:type="default" r:id="rId28"/>
      <w:footerReference w:type="default" r:id="rId29"/>
      <w:pgSz w:w="12240" w:h="15840"/>
      <w:pgMar w:top="1152" w:right="144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EB28" w14:textId="77777777" w:rsidR="00521530" w:rsidRDefault="00521530" w:rsidP="00E05427">
      <w:pPr>
        <w:spacing w:after="0" w:line="240" w:lineRule="auto"/>
      </w:pPr>
      <w:r>
        <w:separator/>
      </w:r>
    </w:p>
  </w:endnote>
  <w:endnote w:type="continuationSeparator" w:id="0">
    <w:p w14:paraId="0B503EFD" w14:textId="77777777" w:rsidR="00521530" w:rsidRDefault="00521530" w:rsidP="00E0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606C" w14:textId="77777777" w:rsidR="00521530" w:rsidRDefault="00521530" w:rsidP="00FE28A1">
    <w:pPr>
      <w:pStyle w:val="Footer"/>
      <w:jc w:val="right"/>
    </w:pPr>
    <w:r>
      <w:rPr>
        <w:noProof/>
        <w:lang w:val="en-CA" w:eastAsia="en-CA" w:bidi="ar-SA"/>
      </w:rPr>
      <w:drawing>
        <wp:inline distT="0" distB="0" distL="0" distR="0" wp14:anchorId="4AD252FC" wp14:editId="01C6709B">
          <wp:extent cx="5715000" cy="401836"/>
          <wp:effectExtent l="19050" t="0" r="0" b="0"/>
          <wp:docPr id="5" name="Picture 3" descr="M:\CQP (CIRP Qualification Program)\CQP Logos\LOGO's and Images\Supporting\CAIRP+Bar&amp;Stripes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QP (CIRP Qualification Program)\CQP Logos\LOGO's and Images\Supporting\CAIRP+Bar&amp;StripesEnglish.png"/>
                  <pic:cNvPicPr>
                    <a:picLocks noChangeAspect="1" noChangeArrowheads="1"/>
                  </pic:cNvPicPr>
                </pic:nvPicPr>
                <pic:blipFill>
                  <a:blip r:embed="rId1"/>
                  <a:srcRect/>
                  <a:stretch>
                    <a:fillRect/>
                  </a:stretch>
                </pic:blipFill>
                <pic:spPr bwMode="auto">
                  <a:xfrm>
                    <a:off x="0" y="0"/>
                    <a:ext cx="5715000" cy="40183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F4F2" w14:textId="77777777" w:rsidR="00521530" w:rsidRDefault="00521530" w:rsidP="00E05427">
      <w:pPr>
        <w:spacing w:after="0" w:line="240" w:lineRule="auto"/>
      </w:pPr>
      <w:r>
        <w:separator/>
      </w:r>
    </w:p>
  </w:footnote>
  <w:footnote w:type="continuationSeparator" w:id="0">
    <w:p w14:paraId="27DD9B90" w14:textId="77777777" w:rsidR="00521530" w:rsidRDefault="00521530" w:rsidP="00E0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341A" w14:textId="77777777" w:rsidR="00521530" w:rsidRDefault="00521530" w:rsidP="008D2FAD">
    <w:pPr>
      <w:pStyle w:val="Header"/>
      <w:ind w:hanging="180"/>
    </w:pPr>
    <w:r>
      <w:rPr>
        <w:noProof/>
        <w:lang w:val="en-CA" w:eastAsia="en-CA" w:bidi="ar-SA"/>
      </w:rPr>
      <w:drawing>
        <wp:inline distT="0" distB="0" distL="0" distR="0" wp14:anchorId="7A5E20B2" wp14:editId="081939FD">
          <wp:extent cx="2695575" cy="656534"/>
          <wp:effectExtent l="19050" t="0" r="9525" b="0"/>
          <wp:docPr id="3" name="Picture 2" descr="M:\CQP (CIRP Qualification Program)\CQP Logos\LOGO's and Images\EnglishLogo\CQPLog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QP (CIRP Qualification Program)\CQP Logos\LOGO's and Images\EnglishLogo\CQPLogo+Tagline.png"/>
                  <pic:cNvPicPr>
                    <a:picLocks noChangeAspect="1" noChangeArrowheads="1"/>
                  </pic:cNvPicPr>
                </pic:nvPicPr>
                <pic:blipFill>
                  <a:blip r:embed="rId1"/>
                  <a:srcRect/>
                  <a:stretch>
                    <a:fillRect/>
                  </a:stretch>
                </pic:blipFill>
                <pic:spPr bwMode="auto">
                  <a:xfrm>
                    <a:off x="0" y="0"/>
                    <a:ext cx="2719655" cy="662399"/>
                  </a:xfrm>
                  <a:prstGeom prst="rect">
                    <a:avLst/>
                  </a:prstGeom>
                  <a:noFill/>
                  <a:ln w="9525">
                    <a:noFill/>
                    <a:miter lim="800000"/>
                    <a:headEnd/>
                    <a:tailEnd/>
                  </a:ln>
                </pic:spPr>
              </pic:pic>
            </a:graphicData>
          </a:graphic>
        </wp:inline>
      </w:drawing>
    </w:r>
  </w:p>
  <w:p w14:paraId="6BF9C2C0" w14:textId="77777777" w:rsidR="00521530" w:rsidRDefault="00521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D15"/>
    <w:multiLevelType w:val="hybridMultilevel"/>
    <w:tmpl w:val="CCFA2D58"/>
    <w:lvl w:ilvl="0" w:tplc="F7EA7FF0">
      <w:start w:val="1"/>
      <w:numFmt w:val="lowerLetter"/>
      <w:lvlText w:val="(%1)"/>
      <w:lvlJc w:val="left"/>
      <w:pPr>
        <w:ind w:left="720" w:hanging="360"/>
      </w:pPr>
      <w:rPr>
        <w:rFonts w:hint="default"/>
      </w:rPr>
    </w:lvl>
    <w:lvl w:ilvl="1" w:tplc="10090019">
      <w:start w:val="1"/>
      <w:numFmt w:val="lowerLetter"/>
      <w:lvlText w:val="%2."/>
      <w:lvlJc w:val="left"/>
      <w:pPr>
        <w:ind w:left="810" w:hanging="360"/>
      </w:pPr>
    </w:lvl>
    <w:lvl w:ilvl="2" w:tplc="1009001B" w:tentative="1">
      <w:start w:val="1"/>
      <w:numFmt w:val="lowerRoman"/>
      <w:lvlText w:val="%3."/>
      <w:lvlJc w:val="right"/>
      <w:pPr>
        <w:ind w:left="1530" w:hanging="180"/>
      </w:pPr>
    </w:lvl>
    <w:lvl w:ilvl="3" w:tplc="1009000F" w:tentative="1">
      <w:start w:val="1"/>
      <w:numFmt w:val="decimal"/>
      <w:lvlText w:val="%4."/>
      <w:lvlJc w:val="left"/>
      <w:pPr>
        <w:ind w:left="2250" w:hanging="360"/>
      </w:pPr>
    </w:lvl>
    <w:lvl w:ilvl="4" w:tplc="10090019" w:tentative="1">
      <w:start w:val="1"/>
      <w:numFmt w:val="lowerLetter"/>
      <w:lvlText w:val="%5."/>
      <w:lvlJc w:val="left"/>
      <w:pPr>
        <w:ind w:left="2970" w:hanging="360"/>
      </w:pPr>
    </w:lvl>
    <w:lvl w:ilvl="5" w:tplc="1009001B" w:tentative="1">
      <w:start w:val="1"/>
      <w:numFmt w:val="lowerRoman"/>
      <w:lvlText w:val="%6."/>
      <w:lvlJc w:val="right"/>
      <w:pPr>
        <w:ind w:left="3690" w:hanging="180"/>
      </w:pPr>
    </w:lvl>
    <w:lvl w:ilvl="6" w:tplc="1009000F" w:tentative="1">
      <w:start w:val="1"/>
      <w:numFmt w:val="decimal"/>
      <w:lvlText w:val="%7."/>
      <w:lvlJc w:val="left"/>
      <w:pPr>
        <w:ind w:left="4410" w:hanging="360"/>
      </w:pPr>
    </w:lvl>
    <w:lvl w:ilvl="7" w:tplc="10090019" w:tentative="1">
      <w:start w:val="1"/>
      <w:numFmt w:val="lowerLetter"/>
      <w:lvlText w:val="%8."/>
      <w:lvlJc w:val="left"/>
      <w:pPr>
        <w:ind w:left="5130" w:hanging="360"/>
      </w:pPr>
    </w:lvl>
    <w:lvl w:ilvl="8" w:tplc="1009001B" w:tentative="1">
      <w:start w:val="1"/>
      <w:numFmt w:val="lowerRoman"/>
      <w:lvlText w:val="%9."/>
      <w:lvlJc w:val="right"/>
      <w:pPr>
        <w:ind w:left="5850" w:hanging="180"/>
      </w:pPr>
    </w:lvl>
  </w:abstractNum>
  <w:abstractNum w:abstractNumId="1" w15:restartNumberingAfterBreak="0">
    <w:nsid w:val="036B3C2A"/>
    <w:multiLevelType w:val="hybridMultilevel"/>
    <w:tmpl w:val="7D4087EA"/>
    <w:lvl w:ilvl="0" w:tplc="C07A9D76">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C03BB"/>
    <w:multiLevelType w:val="hybridMultilevel"/>
    <w:tmpl w:val="3BDE2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4451DD"/>
    <w:multiLevelType w:val="hybridMultilevel"/>
    <w:tmpl w:val="D2F49A34"/>
    <w:lvl w:ilvl="0" w:tplc="3E5814BE">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8164BE"/>
    <w:multiLevelType w:val="hybridMultilevel"/>
    <w:tmpl w:val="1FA07D84"/>
    <w:lvl w:ilvl="0" w:tplc="CF9E6F10">
      <w:numFmt w:val="bullet"/>
      <w:lvlText w:val=""/>
      <w:lvlJc w:val="left"/>
      <w:pPr>
        <w:tabs>
          <w:tab w:val="num" w:pos="1260"/>
        </w:tabs>
        <w:ind w:left="126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53ABB"/>
    <w:multiLevelType w:val="multilevel"/>
    <w:tmpl w:val="C8C85D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lang w:val="en-US"/>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350F7A"/>
    <w:multiLevelType w:val="hybridMultilevel"/>
    <w:tmpl w:val="564C091A"/>
    <w:lvl w:ilvl="0" w:tplc="5D0CF9DE">
      <w:start w:val="1"/>
      <w:numFmt w:val="decimal"/>
      <w:pStyle w:val="BodyIndent1"/>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F144D1"/>
    <w:multiLevelType w:val="hybridMultilevel"/>
    <w:tmpl w:val="736C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C127AC"/>
    <w:multiLevelType w:val="hybridMultilevel"/>
    <w:tmpl w:val="43268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A866EF"/>
    <w:multiLevelType w:val="hybridMultilevel"/>
    <w:tmpl w:val="554E07B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0" w15:restartNumberingAfterBreak="0">
    <w:nsid w:val="49003876"/>
    <w:multiLevelType w:val="hybridMultilevel"/>
    <w:tmpl w:val="ACBC3F32"/>
    <w:lvl w:ilvl="0" w:tplc="1009000F">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09949E8"/>
    <w:multiLevelType w:val="hybridMultilevel"/>
    <w:tmpl w:val="4D5C1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697153A"/>
    <w:multiLevelType w:val="hybridMultilevel"/>
    <w:tmpl w:val="0FC2FFA2"/>
    <w:lvl w:ilvl="0" w:tplc="852ED0BA">
      <w:start w:val="1"/>
      <w:numFmt w:val="bullet"/>
      <w:pStyle w:val="BodyInden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8894103"/>
    <w:multiLevelType w:val="hybridMultilevel"/>
    <w:tmpl w:val="4782A366"/>
    <w:lvl w:ilvl="0" w:tplc="174AB422">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90E172B"/>
    <w:multiLevelType w:val="hybridMultilevel"/>
    <w:tmpl w:val="4928EAD2"/>
    <w:lvl w:ilvl="0" w:tplc="3E3C0BFA">
      <w:start w:val="1"/>
      <w:numFmt w:val="bullet"/>
      <w:pStyle w:val="bodyindent2"/>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396CB3"/>
    <w:multiLevelType w:val="hybridMultilevel"/>
    <w:tmpl w:val="AAC49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503CD3"/>
    <w:multiLevelType w:val="hybridMultilevel"/>
    <w:tmpl w:val="9D12324C"/>
    <w:lvl w:ilvl="0" w:tplc="F00EFDFE">
      <w:start w:val="1"/>
      <w:numFmt w:val="bullet"/>
      <w:pStyle w:val="bodyindent6"/>
      <w:lvlText w:val=""/>
      <w:lvlJc w:val="left"/>
      <w:pPr>
        <w:ind w:left="720" w:hanging="360"/>
      </w:pPr>
      <w:rPr>
        <w:rFonts w:ascii="Symbol" w:hAnsi="Symbol" w:hint="default"/>
      </w:rPr>
    </w:lvl>
    <w:lvl w:ilvl="1" w:tplc="72523A7A">
      <w:start w:val="1"/>
      <w:numFmt w:val="bullet"/>
      <w:pStyle w:val="bodyindent3"/>
      <w:lvlText w:val=""/>
      <w:lvlJc w:val="left"/>
      <w:pPr>
        <w:ind w:left="135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6"/>
  </w:num>
  <w:num w:numId="5">
    <w:abstractNumId w:val="12"/>
  </w:num>
  <w:num w:numId="6">
    <w:abstractNumId w:val="6"/>
  </w:num>
  <w:num w:numId="7">
    <w:abstractNumId w:val="3"/>
  </w:num>
  <w:num w:numId="8">
    <w:abstractNumId w:val="5"/>
  </w:num>
  <w:num w:numId="9">
    <w:abstractNumId w:val="5"/>
  </w:num>
  <w:num w:numId="10">
    <w:abstractNumId w:val="5"/>
  </w:num>
  <w:num w:numId="11">
    <w:abstractNumId w:val="13"/>
  </w:num>
  <w:num w:numId="12">
    <w:abstractNumId w:val="10"/>
  </w:num>
  <w:num w:numId="13">
    <w:abstractNumId w:val="8"/>
  </w:num>
  <w:num w:numId="14">
    <w:abstractNumId w:val="7"/>
  </w:num>
  <w:num w:numId="15">
    <w:abstractNumId w:val="11"/>
  </w:num>
  <w:num w:numId="16">
    <w:abstractNumId w:val="15"/>
  </w:num>
  <w:num w:numId="17">
    <w:abstractNumId w:val="9"/>
  </w:num>
  <w:num w:numId="18">
    <w:abstractNumId w:val="4"/>
  </w:num>
  <w:num w:numId="19">
    <w:abstractNumId w:val="12"/>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B5"/>
    <w:rsid w:val="00052218"/>
    <w:rsid w:val="000911B0"/>
    <w:rsid w:val="000D1099"/>
    <w:rsid w:val="000F3441"/>
    <w:rsid w:val="000F586D"/>
    <w:rsid w:val="00101F5C"/>
    <w:rsid w:val="001075D0"/>
    <w:rsid w:val="00150EDE"/>
    <w:rsid w:val="00170C37"/>
    <w:rsid w:val="0018598F"/>
    <w:rsid w:val="00187AD4"/>
    <w:rsid w:val="001D7DE9"/>
    <w:rsid w:val="00206194"/>
    <w:rsid w:val="0023193E"/>
    <w:rsid w:val="00237033"/>
    <w:rsid w:val="0024313A"/>
    <w:rsid w:val="002443A7"/>
    <w:rsid w:val="002801EC"/>
    <w:rsid w:val="0028411A"/>
    <w:rsid w:val="00292F9A"/>
    <w:rsid w:val="002B5A28"/>
    <w:rsid w:val="002E6634"/>
    <w:rsid w:val="002F5682"/>
    <w:rsid w:val="00362C8A"/>
    <w:rsid w:val="00381C1D"/>
    <w:rsid w:val="003B5726"/>
    <w:rsid w:val="004005E7"/>
    <w:rsid w:val="00421144"/>
    <w:rsid w:val="00440BBD"/>
    <w:rsid w:val="00470900"/>
    <w:rsid w:val="0049615D"/>
    <w:rsid w:val="004A4FE0"/>
    <w:rsid w:val="004B3AC2"/>
    <w:rsid w:val="004D262B"/>
    <w:rsid w:val="004E5557"/>
    <w:rsid w:val="00510459"/>
    <w:rsid w:val="00521530"/>
    <w:rsid w:val="00530CA7"/>
    <w:rsid w:val="00532F9C"/>
    <w:rsid w:val="005575B9"/>
    <w:rsid w:val="005B3644"/>
    <w:rsid w:val="005B7B02"/>
    <w:rsid w:val="005C06F9"/>
    <w:rsid w:val="005E256F"/>
    <w:rsid w:val="005F1613"/>
    <w:rsid w:val="00626740"/>
    <w:rsid w:val="00636091"/>
    <w:rsid w:val="00667806"/>
    <w:rsid w:val="0070651B"/>
    <w:rsid w:val="00711802"/>
    <w:rsid w:val="007924B8"/>
    <w:rsid w:val="0079707E"/>
    <w:rsid w:val="007A14FB"/>
    <w:rsid w:val="007A3942"/>
    <w:rsid w:val="007C2B70"/>
    <w:rsid w:val="007D6515"/>
    <w:rsid w:val="007F15C3"/>
    <w:rsid w:val="00806EF4"/>
    <w:rsid w:val="00832A02"/>
    <w:rsid w:val="008469F7"/>
    <w:rsid w:val="008530CD"/>
    <w:rsid w:val="00864B0D"/>
    <w:rsid w:val="00896C36"/>
    <w:rsid w:val="008D2FAD"/>
    <w:rsid w:val="008E7B88"/>
    <w:rsid w:val="008F47F4"/>
    <w:rsid w:val="00966305"/>
    <w:rsid w:val="00983995"/>
    <w:rsid w:val="009B5A9D"/>
    <w:rsid w:val="009D4622"/>
    <w:rsid w:val="00A15CAC"/>
    <w:rsid w:val="00A5161D"/>
    <w:rsid w:val="00A51948"/>
    <w:rsid w:val="00A65592"/>
    <w:rsid w:val="00A73FE2"/>
    <w:rsid w:val="00A85EB2"/>
    <w:rsid w:val="00AD63C2"/>
    <w:rsid w:val="00AF518F"/>
    <w:rsid w:val="00B00EAF"/>
    <w:rsid w:val="00B34DA3"/>
    <w:rsid w:val="00B36C64"/>
    <w:rsid w:val="00B41B0A"/>
    <w:rsid w:val="00B42BFB"/>
    <w:rsid w:val="00B5079A"/>
    <w:rsid w:val="00B54267"/>
    <w:rsid w:val="00B73BF1"/>
    <w:rsid w:val="00B916E4"/>
    <w:rsid w:val="00BA6B1E"/>
    <w:rsid w:val="00BF303B"/>
    <w:rsid w:val="00C03083"/>
    <w:rsid w:val="00C418B7"/>
    <w:rsid w:val="00C55F62"/>
    <w:rsid w:val="00C6326F"/>
    <w:rsid w:val="00C64C81"/>
    <w:rsid w:val="00C829AE"/>
    <w:rsid w:val="00CA4BE2"/>
    <w:rsid w:val="00CD3D4E"/>
    <w:rsid w:val="00CD7DB7"/>
    <w:rsid w:val="00CF7CE4"/>
    <w:rsid w:val="00D06EDE"/>
    <w:rsid w:val="00D21C86"/>
    <w:rsid w:val="00D56998"/>
    <w:rsid w:val="00D56C62"/>
    <w:rsid w:val="00D82B6E"/>
    <w:rsid w:val="00D84C72"/>
    <w:rsid w:val="00DC5EB3"/>
    <w:rsid w:val="00DD44B8"/>
    <w:rsid w:val="00DE1366"/>
    <w:rsid w:val="00E05427"/>
    <w:rsid w:val="00E44DB5"/>
    <w:rsid w:val="00E46C1A"/>
    <w:rsid w:val="00E66AB9"/>
    <w:rsid w:val="00EB6659"/>
    <w:rsid w:val="00EB78DE"/>
    <w:rsid w:val="00EE2ABD"/>
    <w:rsid w:val="00EE3888"/>
    <w:rsid w:val="00EE400A"/>
    <w:rsid w:val="00F32969"/>
    <w:rsid w:val="00F35675"/>
    <w:rsid w:val="00F60CA3"/>
    <w:rsid w:val="00F6121A"/>
    <w:rsid w:val="00FA0452"/>
    <w:rsid w:val="00FE0C11"/>
    <w:rsid w:val="00FE28A1"/>
    <w:rsid w:val="00FF7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A1B129"/>
  <w15:docId w15:val="{875DCC31-F8D2-49B9-9D04-00D77426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6F"/>
    <w:rPr>
      <w:rFonts w:ascii="Arial" w:hAnsi="Arial"/>
      <w:lang w:val="en-US" w:eastAsia="en-US" w:bidi="en-US"/>
    </w:rPr>
  </w:style>
  <w:style w:type="paragraph" w:styleId="Heading1">
    <w:name w:val="heading 1"/>
    <w:basedOn w:val="BodyText"/>
    <w:link w:val="Heading1Char"/>
    <w:uiPriority w:val="9"/>
    <w:qFormat/>
    <w:rsid w:val="00AD63C2"/>
    <w:pPr>
      <w:numPr>
        <w:numId w:val="10"/>
      </w:numPr>
      <w:spacing w:after="240"/>
      <w:contextualSpacing/>
      <w:outlineLvl w:val="0"/>
    </w:pPr>
    <w:rPr>
      <w:rFonts w:eastAsiaTheme="majorEastAsia" w:cs="Arial"/>
      <w:bCs/>
      <w:color w:val="004270"/>
      <w:sz w:val="36"/>
      <w:szCs w:val="36"/>
    </w:rPr>
  </w:style>
  <w:style w:type="paragraph" w:styleId="Heading2">
    <w:name w:val="heading 2"/>
    <w:basedOn w:val="Heading1"/>
    <w:link w:val="Heading2Char"/>
    <w:uiPriority w:val="9"/>
    <w:unhideWhenUsed/>
    <w:qFormat/>
    <w:rsid w:val="00AD63C2"/>
    <w:pPr>
      <w:keepNext/>
      <w:numPr>
        <w:ilvl w:val="1"/>
      </w:numPr>
      <w:tabs>
        <w:tab w:val="left" w:pos="1008"/>
      </w:tabs>
      <w:spacing w:before="360" w:after="120" w:line="240" w:lineRule="auto"/>
      <w:ind w:left="1008" w:hanging="1008"/>
      <w:outlineLvl w:val="1"/>
    </w:pPr>
    <w:rPr>
      <w:rFonts w:cs="Helvetica"/>
      <w:color w:val="09713C"/>
      <w:sz w:val="28"/>
      <w:szCs w:val="28"/>
      <w:lang w:val="en-CA" w:eastAsia="zh-CN" w:bidi="ar-SA"/>
    </w:rPr>
  </w:style>
  <w:style w:type="paragraph" w:styleId="Heading3">
    <w:name w:val="heading 3"/>
    <w:basedOn w:val="Heading2"/>
    <w:link w:val="Heading3Char"/>
    <w:uiPriority w:val="9"/>
    <w:unhideWhenUsed/>
    <w:qFormat/>
    <w:rsid w:val="00AD63C2"/>
    <w:pPr>
      <w:numPr>
        <w:ilvl w:val="2"/>
      </w:numPr>
      <w:ind w:left="1008" w:hanging="1008"/>
      <w:outlineLvl w:val="2"/>
    </w:pPr>
    <w:rPr>
      <w:b/>
      <w:color w:val="004270"/>
      <w:sz w:val="24"/>
      <w:szCs w:val="24"/>
    </w:rPr>
  </w:style>
  <w:style w:type="paragraph" w:styleId="Heading4">
    <w:name w:val="heading 4"/>
    <w:basedOn w:val="Heading3"/>
    <w:link w:val="Heading4Char"/>
    <w:uiPriority w:val="9"/>
    <w:unhideWhenUsed/>
    <w:qFormat/>
    <w:rsid w:val="008E7B88"/>
    <w:pPr>
      <w:numPr>
        <w:ilvl w:val="0"/>
        <w:numId w:val="0"/>
      </w:numPr>
      <w:outlineLvl w:val="3"/>
    </w:pPr>
    <w:rPr>
      <w:b w:val="0"/>
    </w:rPr>
  </w:style>
  <w:style w:type="paragraph" w:styleId="Heading5">
    <w:name w:val="heading 5"/>
    <w:basedOn w:val="Heading4"/>
    <w:link w:val="Heading5Char"/>
    <w:uiPriority w:val="9"/>
    <w:unhideWhenUsed/>
    <w:qFormat/>
    <w:rsid w:val="005B3644"/>
    <w:pPr>
      <w:ind w:left="432"/>
      <w:outlineLvl w:val="4"/>
    </w:pPr>
    <w:rPr>
      <w:b/>
      <w:color w:val="000000" w:themeColor="text1"/>
    </w:rPr>
  </w:style>
  <w:style w:type="paragraph" w:styleId="Heading6">
    <w:name w:val="heading 6"/>
    <w:basedOn w:val="Heading5"/>
    <w:link w:val="Heading6Char"/>
    <w:uiPriority w:val="9"/>
    <w:unhideWhenUsed/>
    <w:qFormat/>
    <w:rsid w:val="005B3644"/>
    <w:pPr>
      <w:ind w:left="792"/>
      <w:outlineLvl w:val="5"/>
    </w:pPr>
    <w:rPr>
      <w:b w:val="0"/>
      <w:u w:val="single"/>
    </w:rPr>
  </w:style>
  <w:style w:type="paragraph" w:styleId="Heading7">
    <w:name w:val="heading 7"/>
    <w:basedOn w:val="Heading6"/>
    <w:link w:val="Heading7Char"/>
    <w:uiPriority w:val="9"/>
    <w:unhideWhenUsed/>
    <w:qFormat/>
    <w:rsid w:val="00FE28A1"/>
    <w:pPr>
      <w:ind w:left="1152"/>
      <w:outlineLvl w:val="6"/>
    </w:pPr>
    <w:rPr>
      <w:i/>
      <w:u w:val="none"/>
    </w:rPr>
  </w:style>
  <w:style w:type="paragraph" w:styleId="Heading8">
    <w:name w:val="heading 8"/>
    <w:basedOn w:val="Normal"/>
    <w:next w:val="Normal"/>
    <w:link w:val="Heading8Char"/>
    <w:unhideWhenUsed/>
    <w:qFormat/>
    <w:rsid w:val="00D84C7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84C7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Areferences">
    <w:name w:val="BIA references"/>
    <w:basedOn w:val="Normal"/>
    <w:link w:val="BIAreferencesChar"/>
    <w:qFormat/>
    <w:rsid w:val="00D84C72"/>
    <w:pPr>
      <w:spacing w:before="240" w:after="240"/>
    </w:pPr>
    <w:rPr>
      <w:color w:val="0078B8"/>
      <w:sz w:val="20"/>
      <w:szCs w:val="20"/>
    </w:rPr>
  </w:style>
  <w:style w:type="paragraph" w:customStyle="1" w:styleId="BodyText">
    <w:name w:val="BodyText"/>
    <w:basedOn w:val="Normal"/>
    <w:link w:val="BodyTextChar"/>
    <w:qFormat/>
    <w:rsid w:val="00D84C72"/>
    <w:pPr>
      <w:spacing w:before="60" w:after="160"/>
    </w:pPr>
  </w:style>
  <w:style w:type="paragraph" w:customStyle="1" w:styleId="bodyindent2">
    <w:name w:val="body indent 2."/>
    <w:basedOn w:val="Normal"/>
    <w:rsid w:val="00D84C72"/>
    <w:pPr>
      <w:numPr>
        <w:numId w:val="3"/>
      </w:numPr>
      <w:spacing w:before="60" w:after="160"/>
    </w:pPr>
    <w:rPr>
      <w:rFonts w:eastAsia="Times New Roman" w:cs="Times New Roman"/>
      <w:color w:val="000000"/>
      <w:szCs w:val="21"/>
    </w:rPr>
  </w:style>
  <w:style w:type="paragraph" w:customStyle="1" w:styleId="bodyindent3">
    <w:name w:val="body indent3"/>
    <w:basedOn w:val="bodyindent2"/>
    <w:qFormat/>
    <w:rsid w:val="00532F9C"/>
    <w:pPr>
      <w:numPr>
        <w:ilvl w:val="1"/>
        <w:numId w:val="4"/>
      </w:numPr>
      <w:ind w:left="1368"/>
    </w:pPr>
  </w:style>
  <w:style w:type="paragraph" w:customStyle="1" w:styleId="BodyIndent">
    <w:name w:val="BodyIndent"/>
    <w:basedOn w:val="BodyText"/>
    <w:link w:val="BodyIndentChar"/>
    <w:qFormat/>
    <w:rsid w:val="00D84C72"/>
    <w:pPr>
      <w:numPr>
        <w:numId w:val="5"/>
      </w:numPr>
      <w:spacing w:before="0"/>
    </w:pPr>
  </w:style>
  <w:style w:type="paragraph" w:customStyle="1" w:styleId="BodyIndent1">
    <w:name w:val="BodyIndent 1"/>
    <w:basedOn w:val="BodyIndent"/>
    <w:rsid w:val="00D84C72"/>
    <w:pPr>
      <w:numPr>
        <w:numId w:val="6"/>
      </w:numPr>
    </w:pPr>
  </w:style>
  <w:style w:type="paragraph" w:styleId="DocumentMap">
    <w:name w:val="Document Map"/>
    <w:basedOn w:val="Normal"/>
    <w:link w:val="DocumentMapChar"/>
    <w:uiPriority w:val="99"/>
    <w:semiHidden/>
    <w:unhideWhenUsed/>
    <w:rsid w:val="00D84C7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4C72"/>
    <w:rPr>
      <w:rFonts w:ascii="Tahoma" w:hAnsi="Tahoma" w:cs="Tahoma"/>
      <w:sz w:val="16"/>
      <w:szCs w:val="16"/>
      <w:lang w:val="en-US" w:eastAsia="en-US" w:bidi="en-US"/>
    </w:rPr>
  </w:style>
  <w:style w:type="paragraph" w:styleId="Footer">
    <w:name w:val="footer"/>
    <w:basedOn w:val="BodyText"/>
    <w:link w:val="FooterChar"/>
    <w:uiPriority w:val="99"/>
    <w:unhideWhenUsed/>
    <w:rsid w:val="00D84C72"/>
    <w:pPr>
      <w:tabs>
        <w:tab w:val="center" w:pos="4680"/>
        <w:tab w:val="right" w:pos="9360"/>
      </w:tabs>
      <w:spacing w:after="0"/>
    </w:pPr>
  </w:style>
  <w:style w:type="character" w:customStyle="1" w:styleId="FooterChar">
    <w:name w:val="Footer Char"/>
    <w:basedOn w:val="DefaultParagraphFont"/>
    <w:link w:val="Footer"/>
    <w:uiPriority w:val="99"/>
    <w:rsid w:val="002443A7"/>
    <w:rPr>
      <w:rFonts w:ascii="Arial" w:hAnsi="Arial"/>
      <w:lang w:val="en-US" w:eastAsia="en-US" w:bidi="en-US"/>
    </w:rPr>
  </w:style>
  <w:style w:type="character" w:styleId="FootnoteReference">
    <w:name w:val="footnote reference"/>
    <w:basedOn w:val="DefaultParagraphFont"/>
    <w:unhideWhenUsed/>
    <w:rsid w:val="00D84C72"/>
    <w:rPr>
      <w:vertAlign w:val="superscript"/>
    </w:rPr>
  </w:style>
  <w:style w:type="paragraph" w:styleId="FootnoteText">
    <w:name w:val="footnote text"/>
    <w:basedOn w:val="Normal"/>
    <w:link w:val="FootnoteTextChar"/>
    <w:unhideWhenUsed/>
    <w:rsid w:val="007C2B70"/>
    <w:pPr>
      <w:spacing w:before="120" w:after="120" w:line="240" w:lineRule="auto"/>
    </w:pPr>
    <w:rPr>
      <w:rFonts w:cs="Helvetica"/>
      <w:color w:val="211E1E"/>
      <w:sz w:val="16"/>
      <w:szCs w:val="20"/>
      <w:lang w:val="en-CA" w:eastAsia="zh-CN" w:bidi="ar-SA"/>
    </w:rPr>
  </w:style>
  <w:style w:type="character" w:customStyle="1" w:styleId="FootnoteTextChar">
    <w:name w:val="Footnote Text Char"/>
    <w:basedOn w:val="DefaultParagraphFont"/>
    <w:link w:val="FootnoteText"/>
    <w:rsid w:val="007C2B70"/>
    <w:rPr>
      <w:rFonts w:ascii="Arial" w:hAnsi="Arial" w:cs="Helvetica"/>
      <w:color w:val="211E1E"/>
      <w:sz w:val="16"/>
      <w:szCs w:val="20"/>
    </w:rPr>
  </w:style>
  <w:style w:type="character" w:customStyle="1" w:styleId="Heading1Char">
    <w:name w:val="Heading 1 Char"/>
    <w:basedOn w:val="DefaultParagraphFont"/>
    <w:link w:val="Heading1"/>
    <w:uiPriority w:val="9"/>
    <w:rsid w:val="00AD63C2"/>
    <w:rPr>
      <w:rFonts w:ascii="Arial" w:eastAsiaTheme="majorEastAsia" w:hAnsi="Arial" w:cs="Arial"/>
      <w:bCs/>
      <w:color w:val="004270"/>
      <w:sz w:val="36"/>
      <w:szCs w:val="36"/>
      <w:lang w:val="en-US" w:eastAsia="en-US" w:bidi="en-US"/>
    </w:rPr>
  </w:style>
  <w:style w:type="character" w:customStyle="1" w:styleId="Heading2Char">
    <w:name w:val="Heading 2 Char"/>
    <w:basedOn w:val="DefaultParagraphFont"/>
    <w:link w:val="Heading2"/>
    <w:uiPriority w:val="9"/>
    <w:rsid w:val="00AD63C2"/>
    <w:rPr>
      <w:rFonts w:ascii="Arial" w:eastAsiaTheme="majorEastAsia" w:hAnsi="Arial" w:cs="Helvetica"/>
      <w:bCs/>
      <w:color w:val="09713C"/>
      <w:sz w:val="28"/>
      <w:szCs w:val="28"/>
    </w:rPr>
  </w:style>
  <w:style w:type="character" w:customStyle="1" w:styleId="Heading3Char">
    <w:name w:val="Heading 3 Char"/>
    <w:basedOn w:val="DefaultParagraphFont"/>
    <w:link w:val="Heading3"/>
    <w:uiPriority w:val="9"/>
    <w:rsid w:val="00AD63C2"/>
    <w:rPr>
      <w:rFonts w:ascii="Arial" w:eastAsiaTheme="majorEastAsia" w:hAnsi="Arial" w:cs="Helvetica"/>
      <w:b/>
      <w:bCs/>
      <w:color w:val="004270"/>
      <w:sz w:val="24"/>
      <w:szCs w:val="24"/>
    </w:rPr>
  </w:style>
  <w:style w:type="character" w:customStyle="1" w:styleId="Heading4Char">
    <w:name w:val="Heading 4 Char"/>
    <w:basedOn w:val="DefaultParagraphFont"/>
    <w:link w:val="Heading4"/>
    <w:uiPriority w:val="9"/>
    <w:rsid w:val="008E7B88"/>
    <w:rPr>
      <w:rFonts w:ascii="Arial" w:eastAsiaTheme="majorEastAsia" w:hAnsi="Arial" w:cs="Helvetica"/>
      <w:bCs/>
      <w:color w:val="004270"/>
      <w:sz w:val="24"/>
      <w:szCs w:val="24"/>
    </w:rPr>
  </w:style>
  <w:style w:type="character" w:customStyle="1" w:styleId="Heading5Char">
    <w:name w:val="Heading 5 Char"/>
    <w:basedOn w:val="DefaultParagraphFont"/>
    <w:link w:val="Heading5"/>
    <w:uiPriority w:val="9"/>
    <w:rsid w:val="005B3644"/>
    <w:rPr>
      <w:rFonts w:ascii="Arial" w:eastAsiaTheme="majorEastAsia" w:hAnsi="Arial" w:cs="Helvetica"/>
      <w:b/>
      <w:bCs/>
      <w:color w:val="000000" w:themeColor="text1"/>
      <w:sz w:val="24"/>
      <w:szCs w:val="24"/>
    </w:rPr>
  </w:style>
  <w:style w:type="character" w:customStyle="1" w:styleId="Heading6Char">
    <w:name w:val="Heading 6 Char"/>
    <w:basedOn w:val="DefaultParagraphFont"/>
    <w:link w:val="Heading6"/>
    <w:uiPriority w:val="9"/>
    <w:rsid w:val="005B3644"/>
    <w:rPr>
      <w:rFonts w:ascii="Arial" w:eastAsiaTheme="majorEastAsia" w:hAnsi="Arial" w:cs="Helvetica"/>
      <w:bCs/>
      <w:color w:val="000000" w:themeColor="text1"/>
      <w:sz w:val="24"/>
      <w:szCs w:val="24"/>
      <w:u w:val="single"/>
    </w:rPr>
  </w:style>
  <w:style w:type="character" w:customStyle="1" w:styleId="Heading7Char">
    <w:name w:val="Heading 7 Char"/>
    <w:basedOn w:val="DefaultParagraphFont"/>
    <w:link w:val="Heading7"/>
    <w:uiPriority w:val="9"/>
    <w:rsid w:val="00FE28A1"/>
    <w:rPr>
      <w:rFonts w:ascii="Arial" w:eastAsiaTheme="majorEastAsia" w:hAnsi="Arial" w:cs="Helvetica"/>
      <w:bCs/>
      <w:i/>
      <w:color w:val="000000" w:themeColor="text1"/>
      <w:sz w:val="24"/>
      <w:szCs w:val="24"/>
    </w:rPr>
  </w:style>
  <w:style w:type="character" w:customStyle="1" w:styleId="Heading8Char">
    <w:name w:val="Heading 8 Char"/>
    <w:basedOn w:val="DefaultParagraphFont"/>
    <w:link w:val="Heading8"/>
    <w:rsid w:val="00D84C72"/>
    <w:rPr>
      <w:rFonts w:asciiTheme="majorHAnsi" w:eastAsiaTheme="majorEastAsia" w:hAnsiTheme="majorHAnsi" w:cstheme="majorBidi"/>
      <w:sz w:val="20"/>
      <w:szCs w:val="20"/>
      <w:lang w:val="en-US" w:eastAsia="en-US" w:bidi="en-US"/>
    </w:rPr>
  </w:style>
  <w:style w:type="character" w:customStyle="1" w:styleId="Heading9Char">
    <w:name w:val="Heading 9 Char"/>
    <w:basedOn w:val="DefaultParagraphFont"/>
    <w:link w:val="Heading9"/>
    <w:uiPriority w:val="9"/>
    <w:semiHidden/>
    <w:rsid w:val="00D84C72"/>
    <w:rPr>
      <w:rFonts w:asciiTheme="majorHAnsi" w:eastAsiaTheme="majorEastAsia" w:hAnsiTheme="majorHAnsi" w:cstheme="majorBidi"/>
      <w:i/>
      <w:iCs/>
      <w:spacing w:val="5"/>
      <w:sz w:val="20"/>
      <w:szCs w:val="20"/>
      <w:lang w:val="en-US" w:eastAsia="en-US" w:bidi="en-US"/>
    </w:rPr>
  </w:style>
  <w:style w:type="paragraph" w:styleId="Quote">
    <w:name w:val="Quote"/>
    <w:basedOn w:val="Normal"/>
    <w:next w:val="Normal"/>
    <w:link w:val="QuoteChar"/>
    <w:uiPriority w:val="29"/>
    <w:qFormat/>
    <w:rsid w:val="00D84C72"/>
    <w:pPr>
      <w:spacing w:before="200" w:after="0"/>
      <w:ind w:left="360" w:right="360"/>
    </w:pPr>
    <w:rPr>
      <w:i/>
      <w:iCs/>
    </w:rPr>
  </w:style>
  <w:style w:type="character" w:customStyle="1" w:styleId="QuoteChar">
    <w:name w:val="Quote Char"/>
    <w:basedOn w:val="DefaultParagraphFont"/>
    <w:link w:val="Quote"/>
    <w:uiPriority w:val="29"/>
    <w:rsid w:val="00D84C72"/>
    <w:rPr>
      <w:rFonts w:ascii="Arial" w:hAnsi="Arial"/>
      <w:i/>
      <w:iCs/>
      <w:lang w:val="en-US" w:eastAsia="en-US" w:bidi="en-US"/>
    </w:rPr>
  </w:style>
  <w:style w:type="paragraph" w:customStyle="1" w:styleId="Appendixheadline">
    <w:name w:val="Appendix headline"/>
    <w:basedOn w:val="Normal"/>
    <w:rsid w:val="004D262B"/>
    <w:pPr>
      <w:keepNext/>
      <w:pageBreakBefore/>
      <w:spacing w:before="240" w:after="120" w:line="240" w:lineRule="auto"/>
    </w:pPr>
    <w:rPr>
      <w:rFonts w:eastAsia="SimSun" w:cs="Times New Roman"/>
      <w:color w:val="056F3A"/>
      <w:sz w:val="28"/>
      <w:szCs w:val="28"/>
    </w:rPr>
  </w:style>
  <w:style w:type="paragraph" w:customStyle="1" w:styleId="TableHeading">
    <w:name w:val="Table Heading"/>
    <w:basedOn w:val="BodyText"/>
    <w:qFormat/>
    <w:rsid w:val="00D84C72"/>
    <w:pPr>
      <w:spacing w:after="60"/>
      <w:jc w:val="center"/>
    </w:pPr>
    <w:rPr>
      <w:b/>
      <w:color w:val="1F497D" w:themeColor="text2"/>
      <w:sz w:val="24"/>
    </w:rPr>
  </w:style>
  <w:style w:type="paragraph" w:customStyle="1" w:styleId="Tabletext">
    <w:name w:val="Table text"/>
    <w:basedOn w:val="BodyText"/>
    <w:qFormat/>
    <w:rsid w:val="00D84C72"/>
    <w:pPr>
      <w:spacing w:after="60"/>
    </w:pPr>
  </w:style>
  <w:style w:type="paragraph" w:styleId="TOC1">
    <w:name w:val="toc 1"/>
    <w:basedOn w:val="Normal"/>
    <w:next w:val="Normal"/>
    <w:autoRedefine/>
    <w:uiPriority w:val="39"/>
    <w:unhideWhenUsed/>
    <w:qFormat/>
    <w:rsid w:val="00D84C72"/>
    <w:pPr>
      <w:keepNext/>
      <w:tabs>
        <w:tab w:val="left" w:pos="648"/>
        <w:tab w:val="right" w:leader="dot" w:pos="8990"/>
      </w:tabs>
      <w:spacing w:before="240" w:after="0"/>
    </w:pPr>
    <w:rPr>
      <w:b/>
      <w:bCs/>
      <w:caps/>
      <w:sz w:val="24"/>
      <w:szCs w:val="24"/>
    </w:rPr>
  </w:style>
  <w:style w:type="paragraph" w:styleId="TOC2">
    <w:name w:val="toc 2"/>
    <w:basedOn w:val="TOC1"/>
    <w:autoRedefine/>
    <w:uiPriority w:val="39"/>
    <w:qFormat/>
    <w:rsid w:val="00D84C72"/>
    <w:pPr>
      <w:tabs>
        <w:tab w:val="clear" w:pos="648"/>
        <w:tab w:val="left" w:pos="660"/>
      </w:tabs>
    </w:pPr>
    <w:rPr>
      <w:rFonts w:cs="Arial"/>
      <w:b w:val="0"/>
      <w:caps w:val="0"/>
      <w:noProof/>
      <w:sz w:val="22"/>
      <w:szCs w:val="20"/>
    </w:rPr>
  </w:style>
  <w:style w:type="paragraph" w:styleId="TOC3">
    <w:name w:val="toc 3"/>
    <w:basedOn w:val="TOC2"/>
    <w:next w:val="Normal"/>
    <w:autoRedefine/>
    <w:uiPriority w:val="39"/>
    <w:unhideWhenUsed/>
    <w:qFormat/>
    <w:rsid w:val="00D84C72"/>
    <w:pPr>
      <w:tabs>
        <w:tab w:val="left" w:pos="1540"/>
      </w:tabs>
      <w:ind w:left="648"/>
    </w:pPr>
  </w:style>
  <w:style w:type="paragraph" w:styleId="Title">
    <w:name w:val="Title"/>
    <w:basedOn w:val="Heading1"/>
    <w:next w:val="Normal"/>
    <w:link w:val="TitleChar"/>
    <w:uiPriority w:val="10"/>
    <w:qFormat/>
    <w:rsid w:val="008469F7"/>
    <w:pPr>
      <w:numPr>
        <w:numId w:val="0"/>
      </w:numPr>
    </w:pPr>
    <w:rPr>
      <w:sz w:val="48"/>
      <w:szCs w:val="48"/>
    </w:rPr>
  </w:style>
  <w:style w:type="character" w:customStyle="1" w:styleId="TitleChar">
    <w:name w:val="Title Char"/>
    <w:basedOn w:val="DefaultParagraphFont"/>
    <w:link w:val="Title"/>
    <w:uiPriority w:val="10"/>
    <w:rsid w:val="008469F7"/>
    <w:rPr>
      <w:rFonts w:ascii="Arial" w:eastAsiaTheme="majorEastAsia" w:hAnsi="Arial" w:cs="Arial"/>
      <w:bCs/>
      <w:color w:val="004270"/>
      <w:sz w:val="48"/>
      <w:szCs w:val="48"/>
      <w:lang w:val="en-US" w:eastAsia="en-US" w:bidi="en-US"/>
    </w:rPr>
  </w:style>
  <w:style w:type="paragraph" w:customStyle="1" w:styleId="Appendixcontinued">
    <w:name w:val="Appendix continued"/>
    <w:basedOn w:val="Appendixheadline"/>
    <w:qFormat/>
    <w:rsid w:val="00966305"/>
    <w:rPr>
      <w:color w:val="09713C"/>
    </w:rPr>
  </w:style>
  <w:style w:type="paragraph" w:customStyle="1" w:styleId="Appendixsubheadline">
    <w:name w:val="Appendix subheadline"/>
    <w:basedOn w:val="Normal"/>
    <w:rsid w:val="00966305"/>
    <w:pPr>
      <w:keepNext/>
      <w:spacing w:before="240" w:after="240"/>
    </w:pPr>
    <w:rPr>
      <w:rFonts w:eastAsia="SimSun" w:cs="Times New Roman"/>
      <w:b/>
      <w:bCs/>
      <w:color w:val="004270"/>
      <w:sz w:val="24"/>
      <w:szCs w:val="24"/>
    </w:rPr>
  </w:style>
  <w:style w:type="paragraph" w:customStyle="1" w:styleId="Appendixtopic">
    <w:name w:val="Appendix topic"/>
    <w:basedOn w:val="Normal"/>
    <w:rsid w:val="00966305"/>
    <w:pPr>
      <w:keepNext/>
      <w:spacing w:before="240" w:after="0" w:line="360" w:lineRule="auto"/>
    </w:pPr>
    <w:rPr>
      <w:rFonts w:eastAsia="SimSun" w:cs="Times New Roman"/>
      <w:color w:val="004270"/>
      <w:sz w:val="24"/>
      <w:szCs w:val="24"/>
    </w:rPr>
  </w:style>
  <w:style w:type="table" w:styleId="TableGrid">
    <w:name w:val="Table Grid"/>
    <w:basedOn w:val="TableNormal"/>
    <w:uiPriority w:val="59"/>
    <w:rsid w:val="00A15C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Text Char"/>
    <w:basedOn w:val="DefaultParagraphFont"/>
    <w:link w:val="BodyText"/>
    <w:rsid w:val="00A15CAC"/>
    <w:rPr>
      <w:rFonts w:ascii="Arial" w:hAnsi="Arial"/>
      <w:lang w:val="en-US" w:eastAsia="en-US" w:bidi="en-US"/>
    </w:rPr>
  </w:style>
  <w:style w:type="paragraph" w:customStyle="1" w:styleId="BodyText2">
    <w:name w:val="BodyText 2"/>
    <w:basedOn w:val="BodyIndent"/>
    <w:link w:val="BodyText2Char"/>
    <w:qFormat/>
    <w:rsid w:val="004B3AC2"/>
    <w:pPr>
      <w:numPr>
        <w:numId w:val="0"/>
      </w:numPr>
      <w:ind w:left="360"/>
    </w:pPr>
  </w:style>
  <w:style w:type="character" w:customStyle="1" w:styleId="BodyIndentChar">
    <w:name w:val="BodyIndent Char"/>
    <w:basedOn w:val="BodyTextChar"/>
    <w:link w:val="BodyIndent"/>
    <w:rsid w:val="004B3AC2"/>
    <w:rPr>
      <w:rFonts w:ascii="Arial" w:hAnsi="Arial"/>
      <w:lang w:val="en-US" w:eastAsia="en-US" w:bidi="en-US"/>
    </w:rPr>
  </w:style>
  <w:style w:type="character" w:customStyle="1" w:styleId="BodyText2Char">
    <w:name w:val="BodyText 2 Char"/>
    <w:basedOn w:val="BodyIndentChar"/>
    <w:link w:val="BodyText2"/>
    <w:rsid w:val="004B3AC2"/>
    <w:rPr>
      <w:rFonts w:ascii="Arial" w:hAnsi="Arial"/>
      <w:lang w:val="en-US" w:eastAsia="en-US" w:bidi="en-US"/>
    </w:rPr>
  </w:style>
  <w:style w:type="paragraph" w:customStyle="1" w:styleId="BodyText5">
    <w:name w:val="BodyText 5"/>
    <w:basedOn w:val="BodyText2"/>
    <w:qFormat/>
    <w:rsid w:val="005B3644"/>
    <w:pPr>
      <w:ind w:left="432"/>
    </w:pPr>
  </w:style>
  <w:style w:type="paragraph" w:customStyle="1" w:styleId="BodyText6">
    <w:name w:val="BodyText 6"/>
    <w:basedOn w:val="BodyText5"/>
    <w:qFormat/>
    <w:rsid w:val="005B3644"/>
    <w:pPr>
      <w:ind w:left="792"/>
    </w:pPr>
  </w:style>
  <w:style w:type="paragraph" w:customStyle="1" w:styleId="BodyText7">
    <w:name w:val="BodyText 7"/>
    <w:basedOn w:val="BodyText6"/>
    <w:qFormat/>
    <w:rsid w:val="00FE28A1"/>
    <w:pPr>
      <w:ind w:left="1152"/>
    </w:pPr>
  </w:style>
  <w:style w:type="paragraph" w:customStyle="1" w:styleId="bodyindent5">
    <w:name w:val="body indent5"/>
    <w:basedOn w:val="bodyindent3"/>
    <w:qFormat/>
    <w:rsid w:val="005B3644"/>
    <w:pPr>
      <w:ind w:left="792"/>
    </w:pPr>
  </w:style>
  <w:style w:type="paragraph" w:customStyle="1" w:styleId="bodyindent6">
    <w:name w:val="body indent6"/>
    <w:basedOn w:val="bodyindent5"/>
    <w:qFormat/>
    <w:rsid w:val="00FE28A1"/>
    <w:pPr>
      <w:numPr>
        <w:ilvl w:val="0"/>
      </w:numPr>
      <w:ind w:left="1152"/>
    </w:pPr>
  </w:style>
  <w:style w:type="paragraph" w:customStyle="1" w:styleId="bodyindent7">
    <w:name w:val="body indent7"/>
    <w:basedOn w:val="bodyindent6"/>
    <w:qFormat/>
    <w:rsid w:val="00FE28A1"/>
    <w:pPr>
      <w:ind w:left="1512"/>
    </w:pPr>
  </w:style>
  <w:style w:type="paragraph" w:customStyle="1" w:styleId="BIAreference2">
    <w:name w:val="BIA reference 2"/>
    <w:basedOn w:val="BIAreferences"/>
    <w:qFormat/>
    <w:rsid w:val="00CD3D4E"/>
    <w:pPr>
      <w:ind w:left="360"/>
    </w:pPr>
  </w:style>
  <w:style w:type="paragraph" w:customStyle="1" w:styleId="BIArefenences3">
    <w:name w:val="BIA refenences 3"/>
    <w:basedOn w:val="BIAreference2"/>
    <w:qFormat/>
    <w:rsid w:val="00832A02"/>
    <w:pPr>
      <w:ind w:left="1080"/>
    </w:pPr>
  </w:style>
  <w:style w:type="paragraph" w:customStyle="1" w:styleId="BIArefenences5">
    <w:name w:val="BIA refenences 5"/>
    <w:basedOn w:val="BIArefenences3"/>
    <w:qFormat/>
    <w:rsid w:val="005B3644"/>
    <w:pPr>
      <w:ind w:left="432"/>
    </w:pPr>
  </w:style>
  <w:style w:type="paragraph" w:customStyle="1" w:styleId="BIAreferences6">
    <w:name w:val="BIA references 6"/>
    <w:basedOn w:val="BIArefenences5"/>
    <w:qFormat/>
    <w:rsid w:val="005B3644"/>
    <w:pPr>
      <w:ind w:left="792"/>
    </w:pPr>
  </w:style>
  <w:style w:type="paragraph" w:customStyle="1" w:styleId="BIAreferences7">
    <w:name w:val="BIA references 7"/>
    <w:basedOn w:val="BIAreferences6"/>
    <w:qFormat/>
    <w:rsid w:val="00FE28A1"/>
    <w:pPr>
      <w:ind w:left="1152"/>
    </w:pPr>
  </w:style>
  <w:style w:type="paragraph" w:styleId="Header">
    <w:name w:val="header"/>
    <w:basedOn w:val="Normal"/>
    <w:link w:val="HeaderChar"/>
    <w:uiPriority w:val="99"/>
    <w:unhideWhenUsed/>
    <w:rsid w:val="00832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02"/>
    <w:rPr>
      <w:rFonts w:ascii="Arial" w:hAnsi="Arial"/>
      <w:lang w:val="en-US" w:eastAsia="en-US" w:bidi="en-US"/>
    </w:rPr>
  </w:style>
  <w:style w:type="paragraph" w:customStyle="1" w:styleId="Quote2">
    <w:name w:val="Quote 2"/>
    <w:basedOn w:val="Quote"/>
    <w:qFormat/>
    <w:rsid w:val="00C418B7"/>
    <w:pPr>
      <w:ind w:left="720"/>
    </w:pPr>
  </w:style>
  <w:style w:type="paragraph" w:customStyle="1" w:styleId="Quote3">
    <w:name w:val="Quote 3"/>
    <w:basedOn w:val="Quote2"/>
    <w:qFormat/>
    <w:rsid w:val="00C418B7"/>
    <w:pPr>
      <w:ind w:left="1080"/>
    </w:pPr>
  </w:style>
  <w:style w:type="paragraph" w:customStyle="1" w:styleId="Quote4">
    <w:name w:val="Quote 4"/>
    <w:basedOn w:val="Quote3"/>
    <w:qFormat/>
    <w:rsid w:val="00421144"/>
    <w:pPr>
      <w:ind w:left="1872"/>
    </w:pPr>
  </w:style>
  <w:style w:type="character" w:customStyle="1" w:styleId="BIAreferencesChar">
    <w:name w:val="BIA references Char"/>
    <w:basedOn w:val="DefaultParagraphFont"/>
    <w:link w:val="BIAreferences"/>
    <w:rsid w:val="00FE28A1"/>
    <w:rPr>
      <w:rFonts w:ascii="Arial" w:hAnsi="Arial"/>
      <w:color w:val="0078B8"/>
      <w:sz w:val="20"/>
      <w:szCs w:val="20"/>
      <w:lang w:val="en-US" w:eastAsia="en-US" w:bidi="en-US"/>
    </w:rPr>
  </w:style>
  <w:style w:type="paragraph" w:styleId="BalloonText">
    <w:name w:val="Balloon Text"/>
    <w:basedOn w:val="Normal"/>
    <w:link w:val="BalloonTextChar"/>
    <w:uiPriority w:val="99"/>
    <w:semiHidden/>
    <w:unhideWhenUsed/>
    <w:rsid w:val="00FE2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A1"/>
    <w:rPr>
      <w:rFonts w:ascii="Tahoma" w:hAnsi="Tahoma" w:cs="Tahoma"/>
      <w:sz w:val="16"/>
      <w:szCs w:val="16"/>
      <w:lang w:val="en-US" w:eastAsia="en-US" w:bidi="en-US"/>
    </w:rPr>
  </w:style>
  <w:style w:type="paragraph" w:styleId="ListParagraph">
    <w:name w:val="List Paragraph"/>
    <w:basedOn w:val="Normal"/>
    <w:uiPriority w:val="34"/>
    <w:qFormat/>
    <w:rsid w:val="005E256F"/>
    <w:pPr>
      <w:spacing w:after="0" w:line="240" w:lineRule="auto"/>
      <w:ind w:left="720"/>
    </w:pPr>
    <w:rPr>
      <w:rFonts w:ascii="Times New Roman" w:eastAsia="Times New Roman" w:hAnsi="Times New Roman" w:cs="Times New Roman"/>
      <w:sz w:val="24"/>
      <w:szCs w:val="24"/>
      <w:lang w:bidi="ar-SA"/>
    </w:rPr>
  </w:style>
  <w:style w:type="paragraph" w:styleId="NoSpacing">
    <w:name w:val="No Spacing"/>
    <w:uiPriority w:val="1"/>
    <w:qFormat/>
    <w:rsid w:val="005E256F"/>
    <w:pPr>
      <w:spacing w:after="0" w:line="240" w:lineRule="auto"/>
    </w:pPr>
    <w:rPr>
      <w:rFonts w:ascii="Times New Roman" w:eastAsia="Calibri" w:hAnsi="Times New Roman" w:cs="Times New Roman"/>
      <w:sz w:val="24"/>
      <w:szCs w:val="24"/>
      <w:lang w:eastAsia="en-US"/>
    </w:rPr>
  </w:style>
  <w:style w:type="character" w:styleId="CommentReference">
    <w:name w:val="annotation reference"/>
    <w:semiHidden/>
    <w:rsid w:val="00B36C64"/>
    <w:rPr>
      <w:sz w:val="16"/>
      <w:szCs w:val="16"/>
    </w:rPr>
  </w:style>
  <w:style w:type="paragraph" w:styleId="CommentText">
    <w:name w:val="annotation text"/>
    <w:basedOn w:val="Normal"/>
    <w:link w:val="CommentTextChar"/>
    <w:semiHidden/>
    <w:rsid w:val="00B36C64"/>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semiHidden/>
    <w:rsid w:val="00B36C64"/>
    <w:rPr>
      <w:rFonts w:ascii="Times New Roman" w:eastAsia="Times New Roman" w:hAnsi="Times New Roman" w:cs="Times New Roman"/>
      <w:sz w:val="20"/>
      <w:szCs w:val="20"/>
      <w:lang w:val="en-US" w:eastAsia="en-US"/>
    </w:rPr>
  </w:style>
  <w:style w:type="character" w:styleId="Hyperlink">
    <w:name w:val="Hyperlink"/>
    <w:rsid w:val="00B36C64"/>
    <w:rPr>
      <w:color w:val="0000FF"/>
      <w:u w:val="single"/>
    </w:rPr>
  </w:style>
  <w:style w:type="character" w:styleId="FollowedHyperlink">
    <w:name w:val="FollowedHyperlink"/>
    <w:basedOn w:val="DefaultParagraphFont"/>
    <w:uiPriority w:val="99"/>
    <w:semiHidden/>
    <w:unhideWhenUsed/>
    <w:rsid w:val="00A85EB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C5EB3"/>
    <w:pPr>
      <w:spacing w:after="200"/>
    </w:pPr>
    <w:rPr>
      <w:rFonts w:ascii="Arial" w:eastAsiaTheme="minorEastAsia" w:hAnsi="Arial" w:cstheme="minorBidi"/>
      <w:b/>
      <w:bCs/>
      <w:lang w:bidi="en-US"/>
    </w:rPr>
  </w:style>
  <w:style w:type="character" w:customStyle="1" w:styleId="CommentSubjectChar">
    <w:name w:val="Comment Subject Char"/>
    <w:basedOn w:val="CommentTextChar"/>
    <w:link w:val="CommentSubject"/>
    <w:uiPriority w:val="99"/>
    <w:semiHidden/>
    <w:rsid w:val="00DC5EB3"/>
    <w:rPr>
      <w:rFonts w:ascii="Arial" w:eastAsia="Times New Roman" w:hAnsi="Arial" w:cs="Times New Roman"/>
      <w:b/>
      <w:bCs/>
      <w:sz w:val="20"/>
      <w:szCs w:val="20"/>
      <w:lang w:val="en-US" w:eastAsia="en-US" w:bidi="en-US"/>
    </w:rPr>
  </w:style>
  <w:style w:type="character" w:styleId="UnresolvedMention">
    <w:name w:val="Unresolved Mention"/>
    <w:basedOn w:val="DefaultParagraphFont"/>
    <w:uiPriority w:val="99"/>
    <w:semiHidden/>
    <w:unhideWhenUsed/>
    <w:rsid w:val="00BF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s-lois.justice.gc.ca/PDF/C-44.pdf" TargetMode="External"/><Relationship Id="rId18" Type="http://schemas.openxmlformats.org/officeDocument/2006/relationships/hyperlink" Target="http://laws-lois.justice.gc.ca/PDF/F-2.27.pdf" TargetMode="External"/><Relationship Id="rId26" Type="http://schemas.openxmlformats.org/officeDocument/2006/relationships/hyperlink" Target="https://www.canlii.org/en/commentary/proceedings/69" TargetMode="External"/><Relationship Id="rId3" Type="http://schemas.openxmlformats.org/officeDocument/2006/relationships/styles" Target="styles.xml"/><Relationship Id="rId21" Type="http://schemas.openxmlformats.org/officeDocument/2006/relationships/hyperlink" Target="https://cairp.ca/_Library/protection_of_the_public/rpc-clean-version.pdf" TargetMode="External"/><Relationship Id="rId7" Type="http://schemas.openxmlformats.org/officeDocument/2006/relationships/endnotes" Target="endnotes.xml"/><Relationship Id="rId12" Type="http://schemas.openxmlformats.org/officeDocument/2006/relationships/hyperlink" Target="http://laws-lois.justice.gc.ca/PDF/W-11.pdf" TargetMode="External"/><Relationship Id="rId17" Type="http://schemas.openxmlformats.org/officeDocument/2006/relationships/hyperlink" Target="http://laws-lois.justice.gc.ca/PDF/B-1.01.pdf" TargetMode="External"/><Relationship Id="rId25" Type="http://schemas.openxmlformats.org/officeDocument/2006/relationships/hyperlink" Target="https://cairp.ca/blogs.html" TargetMode="External"/><Relationship Id="rId2" Type="http://schemas.openxmlformats.org/officeDocument/2006/relationships/numbering" Target="numbering.xml"/><Relationship Id="rId16" Type="http://schemas.openxmlformats.org/officeDocument/2006/relationships/hyperlink" Target="http://laws-lois.justice.gc.ca/PDF/P-8.6.pdf" TargetMode="External"/><Relationship Id="rId20" Type="http://schemas.openxmlformats.org/officeDocument/2006/relationships/hyperlink" Target="http://www.ic.gc.ca/eic/site/bsf-osb.nsf/eng/h_br01224.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PDF/C-36.pdf" TargetMode="External"/><Relationship Id="rId24" Type="http://schemas.openxmlformats.org/officeDocument/2006/relationships/hyperlink" Target="http://www.cairp.ca/media/publications/rebuilding-success-magazine/" TargetMode="External"/><Relationship Id="rId5" Type="http://schemas.openxmlformats.org/officeDocument/2006/relationships/webSettings" Target="webSettings.xml"/><Relationship Id="rId15" Type="http://schemas.openxmlformats.org/officeDocument/2006/relationships/hyperlink" Target="http://laws-lois.justice.gc.ca/PDF/E-15.pdf" TargetMode="External"/><Relationship Id="rId23" Type="http://schemas.openxmlformats.org/officeDocument/2006/relationships/hyperlink" Target="http://www.cairp.ca/media/publications/bulletins/" TargetMode="External"/><Relationship Id="rId28" Type="http://schemas.openxmlformats.org/officeDocument/2006/relationships/header" Target="header1.xml"/><Relationship Id="rId10" Type="http://schemas.openxmlformats.org/officeDocument/2006/relationships/hyperlink" Target="http://laws-lois.justice.gc.ca/PDF/W-0.8.pdf" TargetMode="External"/><Relationship Id="rId19" Type="http://schemas.openxmlformats.org/officeDocument/2006/relationships/hyperlink" Target="http://www.law.cornell.edu/uscode/html/uscode11/usc_sup_01_11.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s-lois.justice.gc.ca/PDF/B-3.pdf" TargetMode="External"/><Relationship Id="rId14" Type="http://schemas.openxmlformats.org/officeDocument/2006/relationships/hyperlink" Target="http://laws-lois.justice.gc.ca/PDF/I-3.3.pdf" TargetMode="External"/><Relationship Id="rId22" Type="http://schemas.openxmlformats.org/officeDocument/2006/relationships/hyperlink" Target="https://cairp.ca/_Library/_documents/CAIRP_Standards-of-Professional-Practice_ENG.pdf" TargetMode="External"/><Relationship Id="rId27" Type="http://schemas.openxmlformats.org/officeDocument/2006/relationships/hyperlink" Target="https://insolvencyinsider.ca/"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8F8C-505D-4B2D-99E1-C9762EDE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Tennant</dc:creator>
  <cp:lastModifiedBy>Isabelle Gauthier</cp:lastModifiedBy>
  <cp:revision>6</cp:revision>
  <dcterms:created xsi:type="dcterms:W3CDTF">2022-04-20T16:56:00Z</dcterms:created>
  <dcterms:modified xsi:type="dcterms:W3CDTF">2022-04-27T20:37:00Z</dcterms:modified>
</cp:coreProperties>
</file>